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56pt;margin-top:873pt;mso-position-horizontal-relative:page;mso-position-vertical-relative:top-margin-area;position:absolute;width:25pt;z-index:251658240">
            <v:imagedata r:id="rId6" o:title=""/>
          </v:shape>
        </w:pict>
      </w:r>
      <w:r>
        <w:rPr>
          <w:rFonts w:ascii="宋体" w:hAnsi="宋体" w:cs="宋体"/>
          <w:b/>
          <w:bCs/>
          <w:sz w:val="30"/>
          <w:szCs w:val="30"/>
        </w:rPr>
        <w:t>（人教实验版） 九年级（全一册） 第十五章 第5节 串、并联电路的电流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的示数为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比较各电流表读数的大小</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111375" cy="957580"/>
            <wp:effectExtent l="0" t="0" r="0" b="0"/>
            <wp:docPr id="181577126" name="0 Imagen" descr="images/5a22df71-3c46-4df0-bf40-fff37c511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7126" name="0 Imagen" descr="images/5a22df71-3c46-4df0-bf40-fff37c511477.png"/>
                    <pic:cNvPicPr>
                      <a:picLocks noChangeAspect="1"/>
                    </pic:cNvPicPr>
                  </pic:nvPicPr>
                  <pic:blipFill>
                    <a:blip xmlns:r="http://schemas.openxmlformats.org/officeDocument/2006/relationships" r:embed="rId7" cstate="print"/>
                    <a:stretch>
                      <a:fillRect/>
                    </a:stretch>
                  </pic:blipFill>
                  <pic:spPr>
                    <a:xfrm>
                      <a:off x="0" y="0"/>
                      <a:ext cx="2111829" cy="957943"/>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&gt;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&gt;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&lt;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&lt;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&lt;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&lt;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宋体" w:eastAsia="宋体" w:hAnsi="宋体" w:cs="宋体"/>
          <w:color w:val="000000"/>
          <w:sz w:val="21"/>
          <w:szCs w:val="21"/>
        </w:rPr>
        <w:t>在图甲所示的电路中</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的示数为</w:t>
      </w:r>
      <w:r>
        <w:rPr>
          <w:rFonts w:ascii="Times New Roman" w:eastAsia="Times New Roman" w:hAnsi="Times New Roman" w:cs="Times New Roman"/>
          <w:color w:val="000000"/>
          <w:sz w:val="21"/>
          <w:szCs w:val="21"/>
        </w:rPr>
        <w:t>1.2 A,A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的示数如图乙所示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下列判断正确的是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090420" cy="1246505"/>
            <wp:effectExtent l="0" t="0" r="0" b="0"/>
            <wp:docPr id="731115166" name="0 Imagen" descr="images/c6a03873-c784-4e8b-97d5-2a80e66a65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15166" name="0 Imagen" descr="images/c6a03873-c784-4e8b-97d5-2a80e66a6573.jpeg"/>
                    <pic:cNvPicPr>
                      <a:picLocks noChangeAspect="1"/>
                    </pic:cNvPicPr>
                  </pic:nvPicPr>
                  <pic:blipFill>
                    <a:blip xmlns:r="http://schemas.openxmlformats.org/officeDocument/2006/relationships" r:embed="rId8" cstate="print"/>
                    <a:stretch>
                      <a:fillRect/>
                    </a:stretch>
                  </pic:blipFill>
                  <pic:spPr>
                    <a:xfrm>
                      <a:off x="0" y="0"/>
                      <a:ext cx="2090928" cy="1246632"/>
                    </a:xfrm>
                    <a:prstGeom prst="rect">
                      <a:avLst/>
                    </a:prstGeom>
                  </pic:spPr>
                </pic:pic>
              </a:graphicData>
            </a:graphic>
          </wp:inline>
        </w:drawing>
      </w:r>
      <w:r>
        <w:drawing>
          <wp:inline distT="0" distB="0" distL="0" distR="0">
            <wp:extent cx="1252220" cy="1151890"/>
            <wp:effectExtent l="0" t="0" r="0" b="0"/>
            <wp:docPr id="458812539" name="0 Imagen" descr="images/05a5b3b6-9e26-4369-83ca-b59f45e780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12539" name="0 Imagen" descr="images/05a5b3b6-9e26-4369-83ca-b59f45e78065.jpeg"/>
                    <pic:cNvPicPr>
                      <a:picLocks noChangeAspect="1"/>
                    </pic:cNvPicPr>
                  </pic:nvPicPr>
                  <pic:blipFill>
                    <a:blip xmlns:r="http://schemas.openxmlformats.org/officeDocument/2006/relationships" r:embed="rId9" cstate="print"/>
                    <a:stretch>
                      <a:fillRect/>
                    </a:stretch>
                  </pic:blipFill>
                  <pic:spPr>
                    <a:xfrm>
                      <a:off x="0" y="0"/>
                      <a:ext cx="1252728" cy="115214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rPr>
        <w:t>0.7 A</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rPr>
        <w:t>1.2 A</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rPr>
        <w:t>1.2 A</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rPr>
        <w:t>2.5 A</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将电流表串联接人电路中</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四个不同位置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则有</w:t>
      </w:r>
      <w:r>
        <w:rPr>
          <w:rFonts w:ascii="Times New Roman" w:eastAsia="Times New Roman" w:hAnsi="Times New Roman" w:cs="Times New Roman"/>
          <w:color w:val="000000"/>
          <w:sz w:val="21"/>
          <w:szCs w:val="21"/>
        </w:rPr>
        <w:t>(　　)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66800" cy="960120"/>
            <wp:effectExtent l="0" t="0" r="0" b="0"/>
            <wp:docPr id="80484200" name="0 Imagen" descr="images/23f71121-beb8-4580-a604-1d49d4f524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4200" name="0 Imagen" descr="images/23f71121-beb8-4580-a604-1d49d4f524aa.jpeg"/>
                    <pic:cNvPicPr>
                      <a:picLocks noChangeAspect="1"/>
                    </pic:cNvPicPr>
                  </pic:nvPicPr>
                  <pic:blipFill>
                    <a:blip xmlns:r="http://schemas.openxmlformats.org/officeDocument/2006/relationships" r:embed="rId10" cstate="print"/>
                    <a:stretch>
                      <a:fillRect/>
                    </a:stretch>
                  </pic:blipFill>
                  <pic:spPr>
                    <a:xfrm>
                      <a:off x="0" y="0"/>
                      <a:ext cx="1066800" cy="96012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点读数等于</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点读数</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点的读数一定等于</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点读数</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点读数大于</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点读数</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点读数小于</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点读数</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两只不一样的灯泡串联接在同一电源上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有一只灯泡发出了很强的光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而另一只灯泡却发出了较暗的光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则下列说法正确的是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发光强的灯泡中电流大</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发光暗的灯泡中电流小</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两灯中电流一样大</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无法判断通过两灯电流的大小</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闭合时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电流表有示数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则其故障可能是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572260" cy="883920"/>
            <wp:effectExtent l="0" t="0" r="0" b="0"/>
            <wp:docPr id="297400442" name="0 Imagen" descr="images/ffcc1759-6f71-4b06-ab58-fefb54423b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00442" name="0 Imagen" descr="images/ffcc1759-6f71-4b06-ab58-fefb54423b07.jpeg"/>
                    <pic:cNvPicPr>
                      <a:picLocks noChangeAspect="1"/>
                    </pic:cNvPicPr>
                  </pic:nvPicPr>
                  <pic:blipFill>
                    <a:blip xmlns:r="http://schemas.openxmlformats.org/officeDocument/2006/relationships" r:embed="rId11" cstate="print"/>
                    <a:stretch>
                      <a:fillRect/>
                    </a:stretch>
                  </pic:blipFill>
                  <pic:spPr>
                    <a:xfrm>
                      <a:off x="0" y="0"/>
                      <a:ext cx="1572768" cy="88392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的灯丝烧断了</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电源接触不良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的灯丝烧断了</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被短路了</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关于电路中电流的说法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在串联电路中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流过用电器的电流比流过导线的电流大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在并联电路中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干路中的电流比任何一条支路中的电流都大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电流从电源的正极流出时最大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回到负极时最小</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自由电子从电源的正极流出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经过用电器回到负极</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开关闭合时电流表示数为</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4 A,</w:t>
      </w:r>
      <w:r>
        <w:rPr>
          <w:rFonts w:ascii="宋体" w:eastAsia="宋体" w:hAnsi="宋体" w:cs="宋体"/>
          <w:color w:val="000000"/>
          <w:sz w:val="21"/>
          <w:szCs w:val="21"/>
        </w:rPr>
        <w:t>若通过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319530" cy="999490"/>
            <wp:effectExtent l="0" t="0" r="0" b="0"/>
            <wp:docPr id="786759219" name="0 Imagen" descr="images/cfbe37e5-e163-4b11-8ea1-695f11b7480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59219" name="0 Imagen" descr="images/cfbe37e5-e163-4b11-8ea1-695f11b7480a.jpeg"/>
                    <pic:cNvPicPr>
                      <a:picLocks noChangeAspect="1"/>
                    </pic:cNvPicPr>
                  </pic:nvPicPr>
                  <pic:blipFill>
                    <a:blip xmlns:r="http://schemas.openxmlformats.org/officeDocument/2006/relationships" r:embed="rId12" cstate="print"/>
                    <a:stretch>
                      <a:fillRect/>
                    </a:stretch>
                  </pic:blipFill>
                  <pic:spPr>
                    <a:xfrm>
                      <a:off x="0" y="0"/>
                      <a:ext cx="1319784" cy="99974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4 A</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2 A</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4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 A</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4 A</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两个灯泡接在同一电路中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用电流表测得通过它们的电流相等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那么</w:t>
      </w:r>
      <w:r>
        <w:rPr>
          <w:rFonts w:ascii="Times New Roman" w:eastAsia="Times New Roman" w:hAnsi="Times New Roman" w:cs="Times New Roman"/>
          <w:color w:val="000000"/>
          <w:sz w:val="21"/>
          <w:szCs w:val="21"/>
        </w:rPr>
        <w:t> (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这两个灯一定串联</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这两个灯一定并联</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这两个灯可能串联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也可能并联</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以上答案均不对</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在探究并联电路中的电流关系时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小明同学用电流表测出</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宋体" w:eastAsia="宋体" w:hAnsi="宋体" w:cs="宋体"/>
          <w:color w:val="000000"/>
          <w:sz w:val="21"/>
          <w:szCs w:val="21"/>
        </w:rPr>
        <w:t>三处的电流分别为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A</w:t>
      </w:r>
      <w:r>
        <w:rPr>
          <w:rFonts w:ascii="Times New Roman" w:eastAsia="Times New Roman" w:hAnsi="Times New Roman" w:cs="Times New Roman"/>
          <w:color w:val="000000"/>
          <w:sz w:val="21"/>
          <w:szCs w:val="21"/>
        </w:rPr>
        <w:t>=0.5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B</w:t>
      </w:r>
      <w:r>
        <w:rPr>
          <w:rFonts w:ascii="Times New Roman" w:eastAsia="Times New Roman" w:hAnsi="Times New Roman" w:cs="Times New Roman"/>
          <w:color w:val="000000"/>
          <w:sz w:val="21"/>
          <w:szCs w:val="21"/>
        </w:rPr>
        <w:t>=0.3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C</w:t>
      </w:r>
      <w:r>
        <w:rPr>
          <w:rFonts w:ascii="Times New Roman" w:eastAsia="Times New Roman" w:hAnsi="Times New Roman" w:cs="Times New Roman"/>
          <w:color w:val="000000"/>
          <w:sz w:val="21"/>
          <w:szCs w:val="21"/>
        </w:rPr>
        <w:t>=0.2 A,</w:t>
      </w:r>
      <w:r>
        <w:rPr>
          <w:rFonts w:ascii="宋体" w:eastAsia="宋体" w:hAnsi="宋体" w:cs="宋体"/>
          <w:color w:val="000000"/>
          <w:sz w:val="21"/>
          <w:szCs w:val="21"/>
        </w:rPr>
        <w:t>在表格中记录数据后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下一步首先应该做的是</w:t>
      </w:r>
      <w:r>
        <w:rPr>
          <w:rFonts w:ascii="Times New Roman" w:eastAsia="Times New Roman" w:hAnsi="Times New Roman" w:cs="Times New Roman"/>
          <w:color w:val="000000"/>
          <w:sz w:val="21"/>
          <w:szCs w:val="21"/>
        </w:rPr>
        <w:t> (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75360" cy="1069340"/>
            <wp:effectExtent l="0" t="0" r="0" b="0"/>
            <wp:docPr id="181323810" name="0 Imagen" descr="images/643eeb87-cbff-42cd-8244-28a35af7dc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3810" name="0 Imagen" descr="images/643eeb87-cbff-42cd-8244-28a35af7dc89.jpeg"/>
                    <pic:cNvPicPr>
                      <a:picLocks noChangeAspect="1"/>
                    </pic:cNvPicPr>
                  </pic:nvPicPr>
                  <pic:blipFill>
                    <a:blip xmlns:r="http://schemas.openxmlformats.org/officeDocument/2006/relationships" r:embed="rId13" cstate="print"/>
                    <a:stretch>
                      <a:fillRect/>
                    </a:stretch>
                  </pic:blipFill>
                  <pic:spPr>
                    <a:xfrm>
                      <a:off x="0" y="0"/>
                      <a:ext cx="975360" cy="1069848"/>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整理器材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结束实验</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换用不同规格的小灯泡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再测出几组电流值</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分析数据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得出结论</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换用电流表的另一量程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再测出一组电流值</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由断开到闭合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 (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14730" cy="816610"/>
            <wp:effectExtent l="0" t="0" r="0" b="0"/>
            <wp:docPr id="485260526" name="0 Imagen" descr="images/c7e03e3f-c11a-4278-8fdf-0137edc649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60526" name="0 Imagen" descr="images/c7e03e3f-c11a-4278-8fdf-0137edc64971.jpeg"/>
                    <pic:cNvPicPr>
                      <a:picLocks noChangeAspect="1"/>
                    </pic:cNvPicPr>
                  </pic:nvPicPr>
                  <pic:blipFill>
                    <a:blip xmlns:r="http://schemas.openxmlformats.org/officeDocument/2006/relationships" r:embed="rId14" cstate="print"/>
                    <a:stretch>
                      <a:fillRect/>
                    </a:stretch>
                  </pic:blipFill>
                  <pic:spPr>
                    <a:xfrm>
                      <a:off x="0" y="0"/>
                      <a:ext cx="1014984" cy="81686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示数变大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示数也变大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示数变小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示数也变小</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示数不变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示数变大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示数不变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示数变小</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11.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开关闭合后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的示数分别为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则各表的示数关系为</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026795" cy="557530"/>
            <wp:effectExtent l="0" t="0" r="0" b="0"/>
            <wp:docPr id="795133822" name="0 Imagen" descr="images/5eba5cda-b700-43a6-a0c9-5d8759fa40d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33822" name="0 Imagen" descr="images/5eba5cda-b700-43a6-a0c9-5d8759fa40d6.jpeg"/>
                    <pic:cNvPicPr>
                      <a:picLocks noChangeAspect="1"/>
                    </pic:cNvPicPr>
                  </pic:nvPicPr>
                  <pic:blipFill>
                    <a:blip xmlns:r="http://schemas.openxmlformats.org/officeDocument/2006/relationships" r:embed="rId15" cstate="print"/>
                    <a:stretch>
                      <a:fillRect/>
                    </a:stretch>
                  </pic:blipFill>
                  <pic:spPr>
                    <a:xfrm>
                      <a:off x="0" y="0"/>
                      <a:ext cx="1027176" cy="55778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&gt;I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&gt;I</w:t>
      </w:r>
      <w:r>
        <w:rPr>
          <w:rFonts w:ascii="Times New Roman" w:eastAsia="Times New Roman" w:hAnsi="Times New Roman" w:cs="Times New Roman"/>
          <w:color w:val="000000"/>
          <w:position w:val="-4"/>
          <w:sz w:val="19"/>
          <w:szCs w:val="19"/>
          <w:vertAlign w:val="subscript"/>
        </w:rPr>
        <w:t>3</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&lt;I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&lt;I</w:t>
      </w:r>
      <w:r>
        <w:rPr>
          <w:rFonts w:ascii="Times New Roman" w:eastAsia="Times New Roman" w:hAnsi="Times New Roman" w:cs="Times New Roman"/>
          <w:color w:val="000000"/>
          <w:position w:val="-4"/>
          <w:sz w:val="19"/>
          <w:szCs w:val="19"/>
          <w:vertAlign w:val="subscript"/>
        </w:rPr>
        <w:t>3</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12. </w:t>
      </w:r>
      <w:r>
        <w:rPr>
          <w:rFonts w:ascii="宋体" w:eastAsia="宋体" w:hAnsi="宋体" w:cs="宋体"/>
          <w:color w:val="000000"/>
          <w:sz w:val="21"/>
          <w:szCs w:val="21"/>
        </w:rPr>
        <w:t>如图是小李同学研究并联电路电流特点的电路图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闭合时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无示数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有正常示数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如把两灯互换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后两电流表均有正常示数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则该电路中存在的故障是</w:t>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      </w:t>
      </w:r>
      <w:r>
        <w:drawing>
          <wp:inline distT="0" distB="0" distL="0" distR="0">
            <wp:extent cx="1212850" cy="831850"/>
            <wp:effectExtent l="0" t="0" r="0" b="0"/>
            <wp:docPr id="834882188" name="0 Imagen" descr="images/d8d70a2f-16a9-4378-b89b-8a1754ca8b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82188" name="0 Imagen" descr="images/d8d70a2f-16a9-4378-b89b-8a1754ca8be7.jpeg"/>
                    <pic:cNvPicPr>
                      <a:picLocks noChangeAspect="1"/>
                    </pic:cNvPicPr>
                  </pic:nvPicPr>
                  <pic:blipFill>
                    <a:blip xmlns:r="http://schemas.openxmlformats.org/officeDocument/2006/relationships" r:embed="rId16" cstate="print"/>
                    <a:stretch>
                      <a:fillRect/>
                    </a:stretch>
                  </pic:blipFill>
                  <pic:spPr>
                    <a:xfrm>
                      <a:off x="0" y="0"/>
                      <a:ext cx="1213104" cy="832104"/>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断路</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短路</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断路</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短路</w:t>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13.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闭合开关后两电流表的示数</w:t>
      </w:r>
      <w:r>
        <w:rPr>
          <w:rFonts w:ascii="Times New Roman" w:eastAsia="Times New Roman" w:hAnsi="Times New Roman" w:cs="Times New Roman"/>
          <w:i/>
          <w:iCs/>
          <w:color w:val="000000"/>
          <w:sz w:val="21"/>
          <w:szCs w:val="21"/>
        </w:rPr>
        <w:t>I</w:t>
      </w:r>
      <w:r>
        <w:rPr>
          <w:rFonts w:ascii="宋体" w:eastAsia="宋体" w:hAnsi="宋体" w:cs="宋体"/>
          <w:color w:val="000000"/>
          <w:position w:val="-4"/>
          <w:sz w:val="21"/>
          <w:szCs w:val="21"/>
          <w:vertAlign w:val="subscript"/>
        </w:rPr>
        <w:t>甲</w:t>
      </w:r>
      <w:r>
        <w:rPr>
          <w:rFonts w:ascii="Times New Roman" w:eastAsia="Times New Roman" w:hAnsi="Times New Roman" w:cs="Times New Roman"/>
          <w:color w:val="000000"/>
          <w:sz w:val="21"/>
          <w:szCs w:val="21"/>
        </w:rPr>
        <w:t>=4</w:t>
      </w:r>
      <w:r>
        <w:rPr>
          <w:rFonts w:ascii="Times New Roman" w:eastAsia="Times New Roman" w:hAnsi="Times New Roman" w:cs="Times New Roman"/>
          <w:i/>
          <w:iCs/>
          <w:color w:val="000000"/>
          <w:sz w:val="21"/>
          <w:szCs w:val="21"/>
        </w:rPr>
        <w:t>I</w:t>
      </w:r>
      <w:r>
        <w:rPr>
          <w:rFonts w:ascii="宋体" w:eastAsia="宋体" w:hAnsi="宋体" w:cs="宋体"/>
          <w:color w:val="000000"/>
          <w:position w:val="-4"/>
          <w:sz w:val="21"/>
          <w:szCs w:val="21"/>
          <w:vertAlign w:val="subscript"/>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与通过</w:t>
      </w:r>
      <w:r>
        <w:rPr>
          <w:rFonts w:ascii="Times New Roman" w:eastAsia="Times New Roman" w:hAnsi="Times New Roman" w:cs="Times New Roman"/>
          <w:i/>
          <w:iCs/>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的比值为</w:t>
      </w:r>
      <w:r>
        <w:rPr>
          <w:rFonts w:ascii="Times New Roman" w:eastAsia="Times New Roman" w:hAnsi="Times New Roman" w:cs="Times New Roman"/>
          <w:i/>
          <w:iCs/>
          <w:color w:val="000000"/>
          <w:sz w:val="21"/>
          <w:szCs w:val="21"/>
          <w:u w:val="single"/>
        </w:rPr>
        <w:t>　　　　</w:t>
      </w:r>
      <w:r>
        <w:rPr>
          <w:rFonts w:ascii="Times New Roman" w:eastAsia="Times New Roman" w:hAnsi="Times New Roman" w:cs="Times New Roman"/>
          <w:i/>
          <w:iCs/>
          <w:color w:val="000000"/>
          <w:sz w:val="21"/>
          <w:szCs w:val="21"/>
        </w:rPr>
        <w:t>.</w:t>
      </w:r>
      <w:r>
        <w:rPr>
          <w:rFonts w:ascii="宋体" w:eastAsia="宋体" w:hAnsi="宋体" w:cs="宋体"/>
          <w:color w:val="000000"/>
          <w:sz w:val="21"/>
          <w:szCs w:val="21"/>
        </w:rPr>
        <w:t>若</w:t>
      </w:r>
      <w:r>
        <w:rPr>
          <w:rFonts w:ascii="Times New Roman" w:eastAsia="Times New Roman" w:hAnsi="Times New Roman" w:cs="Times New Roman"/>
          <w:i/>
          <w:iCs/>
          <w:color w:val="000000"/>
          <w:sz w:val="21"/>
          <w:szCs w:val="21"/>
        </w:rPr>
        <w:t>I</w:t>
      </w:r>
      <w:r>
        <w:rPr>
          <w:rFonts w:ascii="宋体" w:eastAsia="宋体" w:hAnsi="宋体" w:cs="宋体"/>
          <w:color w:val="000000"/>
          <w:position w:val="-4"/>
          <w:sz w:val="21"/>
          <w:szCs w:val="21"/>
          <w:vertAlign w:val="subscript"/>
        </w:rPr>
        <w:t>甲</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2 </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i/>
          <w:iCs/>
          <w:color w:val="000000"/>
          <w:sz w:val="21"/>
          <w:szCs w:val="21"/>
        </w:rPr>
        <w:t>I</w:t>
      </w:r>
      <w:r>
        <w:rPr>
          <w:rFonts w:ascii="宋体" w:eastAsia="宋体" w:hAnsi="宋体" w:cs="宋体"/>
          <w:color w:val="000000"/>
          <w:position w:val="-4"/>
          <w:sz w:val="21"/>
          <w:szCs w:val="21"/>
          <w:vertAlign w:val="subscript"/>
        </w:rPr>
        <w:t>乙</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A.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181735" cy="902970"/>
            <wp:effectExtent l="0" t="0" r="0" b="0"/>
            <wp:docPr id="408037336" name="0 Imagen" descr="images/f3c7d3ad-4676-433c-8472-bc87a710cc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7336" name="0 Imagen" descr="images/f3c7d3ad-4676-433c-8472-bc87a710cc50.png"/>
                    <pic:cNvPicPr>
                      <a:picLocks noChangeAspect="1"/>
                    </pic:cNvPicPr>
                  </pic:nvPicPr>
                  <pic:blipFill>
                    <a:blip xmlns:r="http://schemas.openxmlformats.org/officeDocument/2006/relationships" r:embed="rId17" cstate="print"/>
                    <a:stretch>
                      <a:fillRect/>
                    </a:stretch>
                  </pic:blipFill>
                  <pic:spPr>
                    <a:xfrm>
                      <a:off x="0" y="0"/>
                      <a:ext cx="1181862" cy="902970"/>
                    </a:xfrm>
                    <a:prstGeom prst="rect">
                      <a:avLst/>
                    </a:prstGeom>
                  </pic:spPr>
                </pic:pic>
              </a:graphicData>
            </a:graphic>
          </wp:inline>
        </w:drawing>
      </w:r>
    </w:p>
    <w:p>
      <w:r>
        <w:rPr>
          <w:rFonts w:ascii="Times New Roman" w:hAnsi="Times New Roman" w:cs="Times New Roman"/>
        </w:rPr>
        <w:t xml:space="preserve">14. </w:t>
      </w:r>
      <w:r>
        <w:rPr>
          <w:rFonts w:ascii="宋体" w:eastAsia="宋体" w:hAnsi="宋体" w:cs="宋体"/>
          <w:color w:val="000000"/>
          <w:sz w:val="21"/>
          <w:szCs w:val="21"/>
        </w:rPr>
        <w:t>某同学在做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用电流表测电流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所用电路如图甲所示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的示数如图乙所示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的示数为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的示数为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通过灯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中的电流为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A.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89000" cy="937260"/>
            <wp:effectExtent l="0" t="0" r="0" b="0"/>
            <wp:docPr id="721260955" name="0 Imagen" descr="images/fdfd9c9e-a43f-4a47-a1ec-b96eacd7e6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60955" name="0 Imagen" descr="images/fdfd9c9e-a43f-4a47-a1ec-b96eacd7e6d2.png"/>
                    <pic:cNvPicPr>
                      <a:picLocks noChangeAspect="1"/>
                    </pic:cNvPicPr>
                  </pic:nvPicPr>
                  <pic:blipFill>
                    <a:blip xmlns:r="http://schemas.openxmlformats.org/officeDocument/2006/relationships" r:embed="rId18" cstate="print"/>
                    <a:stretch>
                      <a:fillRect/>
                    </a:stretch>
                  </pic:blipFill>
                  <pic:spPr>
                    <a:xfrm>
                      <a:off x="0" y="0"/>
                      <a:ext cx="889254" cy="937260"/>
                    </a:xfrm>
                    <a:prstGeom prst="rect">
                      <a:avLst/>
                    </a:prstGeom>
                  </pic:spPr>
                </pic:pic>
              </a:graphicData>
            </a:graphic>
          </wp:inline>
        </w:drawing>
      </w:r>
      <w:r>
        <w:drawing>
          <wp:inline distT="0" distB="0" distL="0" distR="0">
            <wp:extent cx="1153795" cy="1265555"/>
            <wp:effectExtent l="0" t="0" r="0" b="0"/>
            <wp:docPr id="51118395" name="0 Imagen" descr="images/7bc43c16-8f38-4048-bf8d-65015bbd2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8395" name="0 Imagen" descr="images/7bc43c16-8f38-4048-bf8d-65015bbd2825.png"/>
                    <pic:cNvPicPr>
                      <a:picLocks noChangeAspect="1"/>
                    </pic:cNvPicPr>
                  </pic:nvPicPr>
                  <pic:blipFill>
                    <a:blip xmlns:r="http://schemas.openxmlformats.org/officeDocument/2006/relationships" r:embed="rId19" cstate="print"/>
                    <a:stretch>
                      <a:fillRect/>
                    </a:stretch>
                  </pic:blipFill>
                  <pic:spPr>
                    <a:xfrm>
                      <a:off x="0" y="0"/>
                      <a:ext cx="1153886" cy="1265853"/>
                    </a:xfrm>
                    <a:prstGeom prst="rect">
                      <a:avLst/>
                    </a:prstGeom>
                  </pic:spPr>
                </pic:pic>
              </a:graphicData>
            </a:graphic>
          </wp:inline>
        </w:drawing>
      </w:r>
    </w:p>
    <w:p>
      <w:r>
        <w:rPr>
          <w:rFonts w:ascii="Times New Roman" w:hAnsi="Times New Roman" w:cs="Times New Roman"/>
        </w:rPr>
        <w:t xml:space="preserve">15. </w:t>
      </w:r>
      <w:r>
        <w:rPr>
          <w:rFonts w:ascii="宋体" w:eastAsia="宋体" w:hAnsi="宋体" w:cs="宋体"/>
          <w:color w:val="000000"/>
          <w:sz w:val="21"/>
          <w:szCs w:val="21"/>
        </w:rPr>
        <w:t>如图导线</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处直径大于</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如果通过导线</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的电流为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通过导线</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的电流为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则它们的大小关系是</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“&lt;”、“&gt;”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47420" cy="243840"/>
            <wp:effectExtent l="0" t="0" r="0" b="0"/>
            <wp:docPr id="848295483" name="0 Imagen" descr="images/7b8c2b99-d5ee-4743-968e-755ae558dbd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95483" name="0 Imagen" descr="images/7b8c2b99-d5ee-4743-968e-755ae558dbdf.jpeg"/>
                    <pic:cNvPicPr>
                      <a:picLocks noChangeAspect="1"/>
                    </pic:cNvPicPr>
                  </pic:nvPicPr>
                  <pic:blipFill>
                    <a:blip xmlns:r="http://schemas.openxmlformats.org/officeDocument/2006/relationships" r:embed="rId20" cstate="print"/>
                    <a:stretch>
                      <a:fillRect/>
                    </a:stretch>
                  </pic:blipFill>
                  <pic:spPr>
                    <a:xfrm>
                      <a:off x="0" y="0"/>
                      <a:ext cx="947928" cy="243840"/>
                    </a:xfrm>
                    <a:prstGeom prst="rect">
                      <a:avLst/>
                    </a:prstGeom>
                  </pic:spPr>
                </pic:pic>
              </a:graphicData>
            </a:graphic>
          </wp:inline>
        </w:drawing>
      </w:r>
    </w:p>
    <w:p>
      <w:r>
        <w:rPr>
          <w:rFonts w:ascii="Times New Roman" w:hAnsi="Times New Roman" w:cs="Times New Roman"/>
        </w:rPr>
        <w:t xml:space="preserve">16. </w:t>
      </w:r>
      <w:r>
        <w:rPr>
          <w:rFonts w:ascii="宋体" w:eastAsia="宋体" w:hAnsi="宋体" w:cs="宋体"/>
          <w:color w:val="000000"/>
          <w:sz w:val="21"/>
          <w:szCs w:val="21"/>
        </w:rPr>
        <w:t>小明在研究串联电路电流特点时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他共做了三次实验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记录数据如下表所示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小明在测量过程中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有一次数据是错误的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该错误数据是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
      <w:tblGrid>
        <w:gridCol w:w="2180"/>
        <w:gridCol w:w="2180"/>
        <w:gridCol w:w="2180"/>
        <w:gridCol w:w="2180"/>
      </w:tblGrid>
      <w:tr>
        <w:tblPrEx>
          <w:tblW w:w="8720" w:type="dxa"/>
          <w:tblInd w:w="0"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次数</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1</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2</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3</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测量处</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i/>
                <w:iCs/>
                <w:color w:val="000000"/>
                <w:position w:val="-3"/>
                <w:sz w:val="21"/>
                <w:szCs w:val="21"/>
              </w:rPr>
              <w:t>a</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i/>
                <w:iCs/>
                <w:color w:val="000000"/>
                <w:position w:val="-3"/>
                <w:sz w:val="21"/>
                <w:szCs w:val="21"/>
              </w:rPr>
              <w:t>b</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i/>
                <w:iCs/>
                <w:color w:val="000000"/>
                <w:position w:val="-3"/>
                <w:sz w:val="21"/>
                <w:szCs w:val="21"/>
              </w:rPr>
              <w:t>c</w:t>
            </w:r>
          </w:p>
        </w:tc>
      </w:tr>
      <w:tr>
        <w:tblPrEx>
          <w:tblW w:w="8720" w:type="dxa"/>
          <w:tblInd w:w="0" w:type="dxa"/>
          <w:tblLayout w:type="fixed"/>
          <w:tblCellMar>
            <w:top w:w="0" w:type="dxa"/>
            <w:left w:w="108" w:type="dxa"/>
            <w:bottom w:w="0" w:type="dxa"/>
            <w:right w:w="108" w:type="dxa"/>
          </w:tblCellMar>
        </w:tblPrEx>
        <w:trPr>
          <w:trHeight w:val="0"/>
        </w:trPr>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电流/A</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0.12</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0.6</w:t>
            </w:r>
          </w:p>
        </w:tc>
        <w:tc>
          <w:tcPr>
            <w:tcW w:w="218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pPr>
              <w:widowControl/>
              <w:spacing w:before="0" w:after="0" w:line="240" w:lineRule="auto"/>
              <w:ind w:left="0" w:right="0"/>
              <w:jc w:val="center"/>
            </w:pPr>
            <w:r>
              <w:rPr>
                <w:color w:val="000000"/>
                <w:position w:val="-3"/>
                <w:sz w:val="21"/>
                <w:szCs w:val="21"/>
              </w:rPr>
              <w:t>0.12</w:t>
            </w:r>
          </w:p>
        </w:tc>
      </w:tr>
    </w:tbl>
    <w:p/>
    <w:p>
      <w:r>
        <w:rPr>
          <w:rFonts w:ascii="Times New Roman" w:hAnsi="Times New Roman" w:cs="Times New Roman"/>
        </w:rPr>
        <w:t xml:space="preserve">17. </w:t>
      </w:r>
      <w:r>
        <w:rPr>
          <w:rFonts w:ascii="宋体" w:eastAsia="宋体" w:hAnsi="宋体" w:cs="宋体"/>
          <w:color w:val="000000"/>
          <w:sz w:val="21"/>
          <w:szCs w:val="21"/>
        </w:rPr>
        <w:t>教室里的各盏照明灯之间是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联的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当教室里多开一盏照明灯时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干路上的电流大小将</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变大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变小</w:t>
      </w:r>
      <w:r>
        <w:rPr>
          <w:rFonts w:ascii="Times New Roman" w:eastAsia="Times New Roman" w:hAnsi="Times New Roman" w:cs="Times New Roman"/>
          <w:color w:val="000000"/>
          <w:sz w:val="21"/>
          <w:szCs w:val="21"/>
        </w:rPr>
        <w:t>”)</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三、简答题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18. </w:t>
      </w:r>
      <w:r>
        <w:rPr>
          <w:rFonts w:ascii="宋体" w:eastAsia="宋体" w:hAnsi="宋体" w:cs="宋体"/>
          <w:color w:val="000000"/>
          <w:sz w:val="21"/>
          <w:szCs w:val="21"/>
        </w:rPr>
        <w:t>小明家中有一台冰箱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一台彩色电视机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一台洗衣机和两盏灯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正常工作时电流分别是</w:t>
      </w:r>
      <w:r>
        <w:rPr>
          <w:rFonts w:ascii="Times New Roman" w:eastAsia="Times New Roman" w:hAnsi="Times New Roman" w:cs="Times New Roman"/>
          <w:color w:val="000000"/>
          <w:sz w:val="21"/>
          <w:szCs w:val="21"/>
        </w:rPr>
        <w:t>1.7 A,200 mA,1.3 A,0.18 A</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45 mA.</w:t>
      </w:r>
      <w:r>
        <w:rPr>
          <w:rFonts w:ascii="宋体" w:eastAsia="宋体" w:hAnsi="宋体" w:cs="宋体"/>
          <w:color w:val="000000"/>
          <w:sz w:val="21"/>
          <w:szCs w:val="21"/>
        </w:rPr>
        <w:t>如果干路中的电流不允许超过</w:t>
      </w:r>
      <w:r>
        <w:rPr>
          <w:rFonts w:ascii="Times New Roman" w:eastAsia="Times New Roman" w:hAnsi="Times New Roman" w:cs="Times New Roman"/>
          <w:color w:val="000000"/>
          <w:sz w:val="21"/>
          <w:szCs w:val="21"/>
        </w:rPr>
        <w:t>5</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那么这些用电器能否同时使用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请说明道理</w:t>
      </w:r>
      <w:r>
        <w:rPr>
          <w:rFonts w:ascii="Times New Roman" w:eastAsia="Times New Roman" w:hAnsi="Times New Roman" w:cs="Times New Roman"/>
          <w:i/>
          <w:iCs/>
          <w:color w:val="000000"/>
          <w:sz w:val="21"/>
          <w:szCs w:val="21"/>
        </w:rPr>
        <w:t>.</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四、作图题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19. </w:t>
      </w:r>
      <w:r>
        <w:rPr>
          <w:rFonts w:ascii="宋体" w:eastAsia="宋体" w:hAnsi="宋体" w:cs="宋体"/>
          <w:color w:val="000000"/>
          <w:sz w:val="21"/>
          <w:szCs w:val="21"/>
        </w:rPr>
        <w:t>在如图所示的电路中只改动一根导线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使两只电流表分别测量干路和某条支路的电流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要求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在需改动的导线上打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用笔将改动后的导线画出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导线不要交叉</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155065" cy="798195"/>
            <wp:effectExtent l="0" t="0" r="0" b="0"/>
            <wp:docPr id="824748013" name="0 Imagen" descr="images/c8336204-dabe-45ab-8be8-3a351b3ecb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48013" name="0 Imagen" descr="images/c8336204-dabe-45ab-8be8-3a351b3ecba5.jpeg"/>
                    <pic:cNvPicPr>
                      <a:picLocks noChangeAspect="1"/>
                    </pic:cNvPicPr>
                  </pic:nvPicPr>
                  <pic:blipFill>
                    <a:blip xmlns:r="http://schemas.openxmlformats.org/officeDocument/2006/relationships" r:embed="rId21" cstate="print"/>
                    <a:stretch>
                      <a:fillRect/>
                    </a:stretch>
                  </pic:blipFill>
                  <pic:spPr>
                    <a:xfrm>
                      <a:off x="0" y="0"/>
                      <a:ext cx="1155192" cy="798576"/>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五、实验题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20.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是刘芳同学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探究串联电路电流规律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的实验电路图</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249680" cy="767715"/>
            <wp:effectExtent l="0" t="0" r="0" b="0"/>
            <wp:docPr id="977669756" name="0 Imagen" descr="images/b6953399-b7c2-4f84-80cf-3539ae95fd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69756" name="0 Imagen" descr="images/b6953399-b7c2-4f84-80cf-3539ae95fd26.jpeg"/>
                    <pic:cNvPicPr>
                      <a:picLocks noChangeAspect="1"/>
                    </pic:cNvPicPr>
                  </pic:nvPicPr>
                  <pic:blipFill>
                    <a:blip xmlns:r="http://schemas.openxmlformats.org/officeDocument/2006/relationships" r:embed="rId22" cstate="print"/>
                    <a:stretch>
                      <a:fillRect/>
                    </a:stretch>
                  </pic:blipFill>
                  <pic:spPr>
                    <a:xfrm>
                      <a:off x="0" y="0"/>
                      <a:ext cx="1249680" cy="768096"/>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如果闭合开关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将出现</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除了两只灯都不亮以外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还会造成</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的不良后果</w:t>
      </w:r>
      <w:r>
        <w:rPr>
          <w:rFonts w:ascii="Times New Roman" w:eastAsia="Times New Roman" w:hAnsi="Times New Roman" w:cs="Times New Roman"/>
          <w:color w:val="000000"/>
          <w:sz w:val="21"/>
          <w:szCs w:val="21"/>
        </w:rPr>
        <w:t>。 </w:t>
      </w:r>
    </w:p>
    <w:p>
      <w:r>
        <w:rPr>
          <w:rFonts w:ascii="Times New Roman" w:hAnsi="Times New Roman" w:cs="Times New Roman"/>
        </w:rPr>
        <w:t>(2)</w:t>
      </w:r>
      <w:r>
        <w:rPr>
          <w:rFonts w:ascii="宋体" w:eastAsia="宋体" w:hAnsi="宋体" w:cs="宋体"/>
          <w:color w:val="000000"/>
          <w:sz w:val="21"/>
          <w:szCs w:val="21"/>
        </w:rPr>
        <w:t>对于这个电路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只需拆除一根导线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就能成为两灯串联的正确电路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请在要拆除的导线上打</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实验中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选择两个小灯泡的规格应该是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w:t>
      </w:r>
      <w:r>
        <w:rPr>
          <w:rFonts w:ascii="Times New Roman" w:eastAsia="Times New Roman" w:hAnsi="Times New Roman" w:cs="Times New Roman"/>
          <w:color w:val="000000"/>
          <w:sz w:val="21"/>
          <w:szCs w:val="21"/>
        </w:rPr>
        <w:t>。 </w:t>
      </w:r>
    </w:p>
    <w:p>
      <w:r>
        <w:rPr>
          <w:rFonts w:ascii="Times New Roman" w:hAnsi="Times New Roman" w:cs="Times New Roman"/>
        </w:rPr>
        <w:t xml:space="preserve">21. </w:t>
      </w:r>
      <w:r>
        <w:rPr>
          <w:rFonts w:ascii="宋体" w:eastAsia="宋体" w:hAnsi="宋体" w:cs="宋体"/>
          <w:color w:val="000000"/>
          <w:sz w:val="21"/>
          <w:szCs w:val="21"/>
        </w:rPr>
        <w:t>为了验证并联电路的电流特点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小薇设计了如图</w:t>
      </w:r>
      <w:r>
        <w:rPr>
          <w:rFonts w:ascii="Times New Roman" w:eastAsia="Times New Roman" w:hAnsi="Times New Roman" w:cs="Times New Roman"/>
          <w:color w:val="000000"/>
          <w:sz w:val="21"/>
          <w:szCs w:val="21"/>
        </w:rPr>
        <w:t>1</w:t>
      </w:r>
      <w:r>
        <w:rPr>
          <w:rFonts w:ascii="宋体" w:eastAsia="宋体" w:hAnsi="宋体" w:cs="宋体"/>
          <w:color w:val="000000"/>
          <w:sz w:val="21"/>
          <w:szCs w:val="21"/>
        </w:rPr>
        <w:t>所示的电路进行实验</w:t>
      </w:r>
      <w:r>
        <w:rPr>
          <w:rFonts w:ascii="Times New Roman" w:eastAsia="Times New Roman" w:hAnsi="Times New Roman" w:cs="Times New Roman"/>
          <w:color w:val="000000"/>
          <w:sz w:val="21"/>
          <w:szCs w:val="21"/>
        </w:rPr>
        <w:t>.</w:t>
      </w:r>
    </w:p>
    <w:p>
      <w:r>
        <w:rPr>
          <w:rFonts w:ascii="Times New Roman" w:hAnsi="Times New Roman" w:cs="Times New Roman"/>
        </w:rPr>
        <w:t>(1)</w:t>
      </w:r>
      <w:r>
        <w:rPr>
          <w:rFonts w:ascii="宋体" w:eastAsia="宋体" w:hAnsi="宋体" w:cs="宋体"/>
          <w:color w:val="000000"/>
          <w:sz w:val="21"/>
          <w:szCs w:val="21"/>
        </w:rPr>
        <w:t>小薇先将电流表接在</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所在的支路上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观察到灯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不发光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电流表的示数为零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电路可能存在的故障是</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149350" cy="859155"/>
            <wp:effectExtent l="0" t="0" r="0" b="0"/>
            <wp:docPr id="829819626" name="0 Imagen" descr="images/181075ce-d858-4237-820e-32b7067b41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19626" name="0 Imagen" descr="images/181075ce-d858-4237-820e-32b7067b41c6.png"/>
                    <pic:cNvPicPr>
                      <a:picLocks noChangeAspect="1"/>
                    </pic:cNvPicPr>
                  </pic:nvPicPr>
                  <pic:blipFill>
                    <a:blip xmlns:r="http://schemas.openxmlformats.org/officeDocument/2006/relationships" r:embed="rId23" cstate="print"/>
                    <a:stretch>
                      <a:fillRect/>
                    </a:stretch>
                  </pic:blipFill>
                  <pic:spPr>
                    <a:xfrm>
                      <a:off x="0" y="0"/>
                      <a:ext cx="1149858" cy="859536"/>
                    </a:xfrm>
                    <a:prstGeom prst="rect">
                      <a:avLst/>
                    </a:prstGeom>
                  </pic:spPr>
                </pic:pic>
              </a:graphicData>
            </a:graphic>
          </wp:inline>
        </w:drawing>
      </w:r>
      <w:r>
        <w:drawing>
          <wp:inline distT="0" distB="0" distL="0" distR="0">
            <wp:extent cx="3355340" cy="1144270"/>
            <wp:effectExtent l="0" t="0" r="0" b="0"/>
            <wp:docPr id="959349012" name="0 Imagen" descr="images/21ed3580-e4ad-4a58-a24d-799cb69dc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49012" name="0 Imagen" descr="images/21ed3580-e4ad-4a58-a24d-799cb69dc732.png"/>
                    <pic:cNvPicPr>
                      <a:picLocks noChangeAspect="1"/>
                    </pic:cNvPicPr>
                  </pic:nvPicPr>
                  <pic:blipFill>
                    <a:blip xmlns:r="http://schemas.openxmlformats.org/officeDocument/2006/relationships" r:embed="rId24" cstate="print"/>
                    <a:stretch>
                      <a:fillRect/>
                    </a:stretch>
                  </pic:blipFill>
                  <pic:spPr>
                    <a:xfrm>
                      <a:off x="0" y="0"/>
                      <a:ext cx="3355910" cy="1144555"/>
                    </a:xfrm>
                    <a:prstGeom prst="rect">
                      <a:avLst/>
                    </a:prstGeom>
                  </pic:spPr>
                </pic:pic>
              </a:graphicData>
            </a:graphic>
          </wp:inline>
        </w:drawing>
      </w:r>
    </w:p>
    <w:p>
      <w:r>
        <w:rPr>
          <w:rFonts w:ascii="Times New Roman" w:hAnsi="Times New Roman" w:cs="Times New Roman"/>
        </w:rPr>
        <w:t>(2)</w:t>
      </w:r>
      <w:r>
        <w:rPr>
          <w:rFonts w:ascii="宋体" w:eastAsia="宋体" w:hAnsi="宋体" w:cs="宋体"/>
          <w:color w:val="000000"/>
          <w:sz w:val="21"/>
          <w:szCs w:val="21"/>
        </w:rPr>
        <w:t>排除故障后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她测出了</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支路和干路上的电流分别为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和</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电流表示数如图</w:t>
      </w:r>
      <w:r>
        <w:rPr>
          <w:rFonts w:ascii="Times New Roman" w:eastAsia="Times New Roman" w:hAnsi="Times New Roman" w:cs="Times New Roman"/>
          <w:color w:val="000000"/>
          <w:sz w:val="21"/>
          <w:szCs w:val="21"/>
        </w:rPr>
        <w:t>2</w:t>
      </w:r>
      <w:r>
        <w:rPr>
          <w:rFonts w:ascii="宋体" w:eastAsia="宋体" w:hAnsi="宋体" w:cs="宋体"/>
          <w:color w:val="000000"/>
          <w:sz w:val="21"/>
          <w:szCs w:val="21"/>
        </w:rPr>
        <w:t>中甲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可读出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=0.5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A.</w:t>
      </w:r>
      <w:r>
        <w:rPr>
          <w:rFonts w:ascii="宋体" w:eastAsia="宋体" w:hAnsi="宋体" w:cs="宋体"/>
          <w:color w:val="000000"/>
          <w:sz w:val="21"/>
          <w:szCs w:val="21"/>
        </w:rPr>
        <w:t>根据测量结果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在误差允许范围内你认为并联电路中干路电流和各支路电流的关系是</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写出关系式即可</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为了验证结论的普遍性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小薇采用了更换不同灯泡继续实验的方法进行验证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你还可以采用的方法是</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六、计算题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22. </w:t>
      </w:r>
      <w:r>
        <w:rPr>
          <w:rFonts w:ascii="宋体" w:eastAsia="宋体" w:hAnsi="宋体" w:cs="宋体"/>
          <w:color w:val="000000"/>
          <w:sz w:val="21"/>
          <w:szCs w:val="21"/>
        </w:rPr>
        <w:t>某同学按如图所示的电路图将实物连接起来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观察电流表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的示数是</w:t>
      </w:r>
      <w:r>
        <w:rPr>
          <w:rFonts w:ascii="Times New Roman" w:eastAsia="Times New Roman" w:hAnsi="Times New Roman" w:cs="Times New Roman"/>
          <w:color w:val="000000"/>
          <w:sz w:val="21"/>
          <w:szCs w:val="21"/>
        </w:rPr>
        <w:t>0.5 A,</w:t>
      </w:r>
      <w:r>
        <w:rPr>
          <w:rFonts w:ascii="宋体" w:eastAsia="宋体" w:hAnsi="宋体" w:cs="宋体"/>
          <w:color w:val="000000"/>
          <w:sz w:val="21"/>
          <w:szCs w:val="21"/>
        </w:rPr>
        <w:t>经过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的电流是另一条支路中的两倍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01370" cy="661035"/>
            <wp:effectExtent l="0" t="0" r="0" b="0"/>
            <wp:docPr id="936870373" name="0 Imagen" descr="images/fe823792-efbe-44b0-917c-58acf11ec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70373" name="0 Imagen" descr="images/fe823792-efbe-44b0-917c-58acf11ec222.jpeg"/>
                    <pic:cNvPicPr>
                      <a:picLocks noChangeAspect="1"/>
                    </pic:cNvPicPr>
                  </pic:nvPicPr>
                  <pic:blipFill>
                    <a:blip xmlns:r="http://schemas.openxmlformats.org/officeDocument/2006/relationships" r:embed="rId25" cstate="print"/>
                    <a:stretch>
                      <a:fillRect/>
                    </a:stretch>
                  </pic:blipFill>
                  <pic:spPr>
                    <a:xfrm>
                      <a:off x="0" y="0"/>
                      <a:ext cx="801624" cy="661416"/>
                    </a:xfrm>
                    <a:prstGeom prst="rect">
                      <a:avLst/>
                    </a:prstGeom>
                  </pic:spPr>
                </pic:pic>
              </a:graphicData>
            </a:graphic>
          </wp:inline>
        </w:drawing>
      </w:r>
    </w:p>
    <w:p>
      <w:r>
        <w:rPr>
          <w:rFonts w:ascii="Times New Roman" w:hAnsi="Times New Roman" w:cs="Times New Roman"/>
        </w:rPr>
        <w:t>(1)</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中的电流是多少安培</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干路中电流表的读数是多少</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两表的量程分别应取多大的量程</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根据三个灯的连接方式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结合串并联电路中电流特点分析知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三个灯并联</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测的是一个支路的电流</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测的是两个支路的电流</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测的是三个支路的电流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由此可知</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的大小关系为</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3</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测干路电流</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测灯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由图乙可知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rPr>
        <w:t>0.5A；</w:t>
      </w:r>
      <w:r>
        <w:rPr>
          <w:rFonts w:ascii="宋体" w:eastAsia="宋体" w:hAnsi="宋体" w:cs="宋体"/>
          <w:color w:val="000000"/>
          <w:sz w:val="21"/>
          <w:szCs w:val="21"/>
        </w:rPr>
        <w:t>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与灯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的电流为</w:t>
      </w:r>
      <w:r>
        <w:rPr>
          <w:rFonts w:ascii="Times New Roman" w:eastAsia="Times New Roman" w:hAnsi="Times New Roman" w:cs="Times New Roman"/>
          <w:color w:val="000000"/>
          <w:sz w:val="21"/>
          <w:szCs w:val="21"/>
        </w:rPr>
        <w:t>1.2A-0.5A=0.7A。</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A。</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3. 【答案】</w:t>
      </w:r>
      <w:bookmarkStart w:id="0" w:name="_GoBack"/>
      <w:bookmarkEnd w:id="0"/>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两灯泡并联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而并联电路中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干路电流一定等于各支路电流之和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串联电路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电流处处相等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C。</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由题意电流表有示数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可知电流不可能断路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串联电路中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电流处处相等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并联电路中总电流比任一支路电流都大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B。</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闭合开关后</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被短路</w:t>
      </w:r>
      <w:r>
        <w:rPr>
          <w:rFonts w:ascii="Times New Roman" w:eastAsia="Times New Roman" w:hAnsi="Times New Roman" w:cs="Times New Roman"/>
          <w:color w:val="000000"/>
          <w:sz w:val="21"/>
          <w:szCs w:val="21"/>
        </w:rPr>
        <w:t>, 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上无电流通过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此时电流表测的是通过</w:t>
      </w:r>
      <w:r>
        <w:rPr>
          <w:rFonts w:ascii="Times New Roman" w:eastAsia="Times New Roman" w:hAnsi="Times New Roman" w:cs="Times New Roman"/>
          <w:color w:val="000000"/>
          <w:sz w:val="21"/>
          <w:szCs w:val="21"/>
        </w:rPr>
        <w:t>L2</w:t>
      </w:r>
      <w:r>
        <w:rPr>
          <w:rFonts w:ascii="宋体" w:eastAsia="宋体" w:hAnsi="宋体" w:cs="宋体"/>
          <w:color w:val="000000"/>
          <w:sz w:val="21"/>
          <w:szCs w:val="21"/>
        </w:rPr>
        <w:t>的电流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两个灯泡串联在电路中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电流处处相等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当两个完全相同的灯泡并联时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通过它们的电流也相等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通过两个用电器的电流相等时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这两个用电器可能是串联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也可能是并联</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因为实验具有偶然性和特殊性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所以需要换用不同规格的小灯泡多次实验</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两灯并联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在干路</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测</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的电流</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只控制</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因为两灯并联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所以互不影响</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的通断不影响</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的示数不变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又因为</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在干路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故当</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闭合时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示数变大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11.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并联电路中干路电流等于各支路电流之和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题图中三盏灯并联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测干路电流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测通过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的电流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测通过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3</w:t>
      </w:r>
      <w:r>
        <w:rPr>
          <w:rFonts w:ascii="宋体" w:eastAsia="宋体" w:hAnsi="宋体" w:cs="宋体"/>
          <w:color w:val="000000"/>
          <w:sz w:val="21"/>
          <w:szCs w:val="21"/>
        </w:rPr>
        <w:t>的电流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&gt;I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i/>
          <w:iCs/>
          <w:color w:val="000000"/>
          <w:sz w:val="21"/>
          <w:szCs w:val="21"/>
        </w:rPr>
        <w:t>&gt;I</w:t>
      </w:r>
      <w:r>
        <w:rPr>
          <w:rFonts w:ascii="Times New Roman" w:eastAsia="Times New Roman" w:hAnsi="Times New Roman" w:cs="Times New Roman"/>
          <w:color w:val="000000"/>
          <w:position w:val="-4"/>
          <w:sz w:val="19"/>
          <w:szCs w:val="19"/>
          <w:vertAlign w:val="subscript"/>
        </w:rPr>
        <w:t>3</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12.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若</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则闭合开关后电流表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没有示数</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有示数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两灯互换后</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在同一条支路上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都有示数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选项符合题意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电流从电源正极流出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流过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到电源负极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因此整个电路发生短路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选项不符合题意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闭合后两电流表应该均有示数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选项不符合题意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电流表</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就直接连在电源两端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电路发生短路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选项不符合题意</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13. 【答案】</w:t>
      </w:r>
      <w:r>
        <w:rPr>
          <w:rFonts w:ascii="Times New Roman" w:eastAsia="Times New Roman" w:hAnsi="Times New Roman" w:cs="Times New Roman"/>
          <w:color w:val="000000"/>
          <w:sz w:val="21"/>
          <w:szCs w:val="21"/>
        </w:rPr>
        <w:t>3∶1;0.05</w:t>
      </w:r>
      <w:r>
        <w:rPr>
          <w:color w:val="000000"/>
          <w:sz w:val="24"/>
          <w:szCs w:val="24"/>
        </w:rPr>
        <w:br/>
      </w:r>
      <w:r>
        <w:rPr>
          <w:rFonts w:ascii="Times New Roman" w:hAnsi="Times New Roman" w:cs="Times New Roman"/>
        </w:rPr>
        <w:t>14. 【答案】</w:t>
      </w:r>
      <w:r>
        <w:rPr>
          <w:rFonts w:ascii="Times New Roman" w:eastAsia="Times New Roman" w:hAnsi="Times New Roman" w:cs="Times New Roman"/>
          <w:color w:val="000000"/>
          <w:sz w:val="21"/>
          <w:szCs w:val="21"/>
        </w:rPr>
        <w:t>0.48;1.4;0.92;0.48</w:t>
      </w:r>
      <w:r>
        <w:rPr>
          <w:color w:val="000000"/>
          <w:sz w:val="24"/>
          <w:szCs w:val="24"/>
        </w:rPr>
        <w:br/>
      </w:r>
      <w:r>
        <w:rPr>
          <w:rFonts w:ascii="Times New Roman" w:hAnsi="Times New Roman" w:cs="Times New Roman"/>
        </w:rPr>
        <w:t>15. 【答案】</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16. 【答案】</w:t>
      </w:r>
      <w:r>
        <w:rPr>
          <w:rFonts w:ascii="Times New Roman" w:eastAsia="Times New Roman" w:hAnsi="Times New Roman" w:cs="Times New Roman"/>
          <w:color w:val="000000"/>
          <w:sz w:val="21"/>
          <w:szCs w:val="21"/>
        </w:rPr>
        <w:t>0.6</w:t>
      </w:r>
      <w:r>
        <w:rPr>
          <w:color w:val="000000"/>
          <w:sz w:val="24"/>
          <w:szCs w:val="24"/>
        </w:rPr>
        <w:br/>
      </w:r>
      <w:r>
        <w:rPr>
          <w:rFonts w:ascii="Times New Roman" w:hAnsi="Times New Roman" w:cs="Times New Roman"/>
        </w:rPr>
        <w:t>17. 【答案】</w:t>
      </w:r>
      <w:r>
        <w:rPr>
          <w:rFonts w:ascii="宋体" w:eastAsia="宋体" w:hAnsi="宋体" w:cs="宋体"/>
          <w:color w:val="000000"/>
          <w:sz w:val="21"/>
          <w:szCs w:val="21"/>
        </w:rPr>
        <w:t>并</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变大</w:t>
      </w:r>
      <w:r>
        <w:rPr>
          <w:color w:val="000000"/>
          <w:sz w:val="24"/>
          <w:szCs w:val="24"/>
        </w:rPr>
        <w:br/>
      </w:r>
      <w:r>
        <w:rPr>
          <w:rFonts w:ascii="Times New Roman" w:hAnsi="Times New Roman" w:cs="Times New Roman"/>
        </w:rPr>
        <w:t>18. 【答案】</w:t>
      </w:r>
      <w:r>
        <w:rPr>
          <w:rFonts w:ascii="宋体" w:eastAsia="宋体" w:hAnsi="宋体" w:cs="宋体"/>
          <w:color w:val="000000"/>
          <w:sz w:val="21"/>
          <w:szCs w:val="21"/>
        </w:rPr>
        <w:t>因为家用电器都是并联的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它们工作时的总电流</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=1.7 A+0.2 A+1.3 A+0.18 A+0.045 A=3.425 A,</w:t>
      </w:r>
      <w:r>
        <w:rPr>
          <w:rFonts w:ascii="宋体" w:eastAsia="宋体" w:hAnsi="宋体" w:cs="宋体"/>
          <w:color w:val="000000"/>
          <w:sz w:val="21"/>
          <w:szCs w:val="21"/>
        </w:rPr>
        <w:t>由于</w:t>
      </w:r>
      <w:r>
        <w:rPr>
          <w:rFonts w:ascii="Times New Roman" w:eastAsia="Times New Roman" w:hAnsi="Times New Roman" w:cs="Times New Roman"/>
          <w:color w:val="000000"/>
          <w:sz w:val="21"/>
          <w:szCs w:val="21"/>
        </w:rPr>
        <w:t>3.425 A</w:t>
      </w:r>
      <w:r>
        <w:rPr>
          <w:rFonts w:ascii="宋体" w:eastAsia="宋体" w:hAnsi="宋体" w:cs="宋体"/>
          <w:color w:val="000000"/>
          <w:sz w:val="21"/>
          <w:szCs w:val="21"/>
        </w:rPr>
        <w:t>小于干路中的电流允许的最大电流</w:t>
      </w:r>
      <w:r>
        <w:rPr>
          <w:rFonts w:ascii="Times New Roman" w:eastAsia="Times New Roman" w:hAnsi="Times New Roman" w:cs="Times New Roman"/>
          <w:color w:val="000000"/>
          <w:sz w:val="21"/>
          <w:szCs w:val="21"/>
        </w:rPr>
        <w:t>5 A,</w:t>
      </w:r>
      <w:r>
        <w:rPr>
          <w:rFonts w:ascii="宋体" w:eastAsia="宋体" w:hAnsi="宋体" w:cs="宋体"/>
          <w:color w:val="000000"/>
          <w:sz w:val="21"/>
          <w:szCs w:val="21"/>
        </w:rPr>
        <w:t>所以这些用电器能同时使用</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19. 【答案】</w:t>
      </w:r>
      <w:r>
        <w:rPr>
          <w:rFonts w:ascii="宋体" w:eastAsia="宋体" w:hAnsi="宋体" w:cs="宋体"/>
          <w:color w:val="000000"/>
          <w:sz w:val="21"/>
          <w:szCs w:val="21"/>
        </w:rPr>
        <w:t>如答图所示</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432560" cy="981075"/>
            <wp:effectExtent l="0" t="0" r="0" b="0"/>
            <wp:docPr id="299779424" name="0 Imagen" descr="images/974d6b60-8017-46b0-89e2-a91674728fa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79424" name="0 Imagen" descr="images/974d6b60-8017-46b0-89e2-a91674728fa7.jpeg"/>
                    <pic:cNvPicPr>
                      <a:picLocks noChangeAspect="1"/>
                    </pic:cNvPicPr>
                  </pic:nvPicPr>
                  <pic:blipFill>
                    <a:blip xmlns:r="http://schemas.openxmlformats.org/officeDocument/2006/relationships" r:embed="rId26" cstate="print"/>
                    <a:stretch>
                      <a:fillRect/>
                    </a:stretch>
                  </pic:blipFill>
                  <pic:spPr>
                    <a:xfrm>
                      <a:off x="0" y="0"/>
                      <a:ext cx="1432560" cy="981456"/>
                    </a:xfrm>
                    <a:prstGeom prst="rect">
                      <a:avLst/>
                    </a:prstGeom>
                  </pic:spPr>
                </pic:pic>
              </a:graphicData>
            </a:graphic>
          </wp:inline>
        </w:drawing>
      </w:r>
      <w:r>
        <w:rPr>
          <w:color w:val="000000"/>
          <w:sz w:val="24"/>
          <w:szCs w:val="24"/>
        </w:rPr>
        <w:br/>
      </w:r>
      <w:r>
        <w:rPr>
          <w:rFonts w:ascii="Times New Roman" w:hAnsi="Times New Roman" w:cs="Times New Roman"/>
        </w:rPr>
        <w:t>20.(1)  【答案】</w:t>
      </w:r>
      <w:r>
        <w:rPr>
          <w:rFonts w:ascii="宋体" w:eastAsia="宋体" w:hAnsi="宋体" w:cs="宋体"/>
          <w:color w:val="000000"/>
          <w:sz w:val="21"/>
          <w:szCs w:val="21"/>
        </w:rPr>
        <w:t>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损坏电流表和电源</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两个灯泡被短路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电路中只有电源和电流表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电路中电流过大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容易烧坏电源和电流表</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如答图所示</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289050" cy="855980"/>
            <wp:effectExtent l="0" t="0" r="0" b="0"/>
            <wp:docPr id="941276089" name="0 Imagen" descr="images/b7eee66c-a3c2-40dc-a0f9-59a1e7d6c8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76089" name="0 Imagen" descr="images/b7eee66c-a3c2-40dc-a0f9-59a1e7d6c806.jpeg"/>
                    <pic:cNvPicPr>
                      <a:picLocks noChangeAspect="1"/>
                    </pic:cNvPicPr>
                  </pic:nvPicPr>
                  <pic:blipFill>
                    <a:blip xmlns:r="http://schemas.openxmlformats.org/officeDocument/2006/relationships" r:embed="rId27" cstate="print"/>
                    <a:stretch>
                      <a:fillRect/>
                    </a:stretch>
                  </pic:blipFill>
                  <pic:spPr>
                    <a:xfrm>
                      <a:off x="0" y="0"/>
                      <a:ext cx="1289304" cy="856488"/>
                    </a:xfrm>
                    <a:prstGeom prst="rect">
                      <a:avLst/>
                    </a:prstGeom>
                  </pic:spPr>
                </pic:pic>
              </a:graphicData>
            </a:graphic>
          </wp:inline>
        </w:drawing>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两灯串联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则两灯只需用一根导线连接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去掉使其短路的导线即可</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不相同</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选用不同规格的小灯泡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目的是为了避免特殊性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排除偶然因素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使结论更具有普遍性</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21.(1)  【答案】</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或电流表开路</w:t>
      </w:r>
      <w:r>
        <w:rPr>
          <w:color w:val="000000"/>
          <w:sz w:val="24"/>
          <w:szCs w:val="24"/>
        </w:rPr>
        <w:br/>
      </w:r>
      <w:r>
        <w:rPr>
          <w:color w:val="000000"/>
          <w:sz w:val="24"/>
          <w:szCs w:val="24"/>
        </w:rPr>
        <w:t> </w:t>
      </w:r>
      <w:r>
        <w:rPr>
          <w:rFonts w:ascii="Times New Roman" w:hAnsi="Times New Roman" w:cs="Times New Roman"/>
        </w:rPr>
        <w:t>(2)  【答案】</w:t>
      </w:r>
      <w:r>
        <w:rPr>
          <w:rFonts w:ascii="Times New Roman" w:eastAsia="Times New Roman" w:hAnsi="Times New Roman" w:cs="Times New Roman"/>
          <w:color w:val="000000"/>
          <w:sz w:val="21"/>
          <w:szCs w:val="21"/>
        </w:rPr>
        <w:t>0.52;1;</w:t>
      </w:r>
      <w:r>
        <w:rPr>
          <w:rFonts w:ascii="Times New Roman" w:eastAsia="Times New Roman" w:hAnsi="Times New Roman" w:cs="Times New Roman"/>
          <w:i/>
          <w:iCs/>
          <w:color w:val="000000"/>
          <w:sz w:val="21"/>
          <w:szCs w:val="21"/>
        </w:rPr>
        <w:t>I=I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用改变电源电压继续实验的方法进行验证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其他合理答案均可</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根据并联用电器独立工作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互不影响的特点可知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发光且电流表的示数为</w:t>
      </w:r>
      <w:r>
        <w:rPr>
          <w:rFonts w:ascii="Times New Roman" w:eastAsia="Times New Roman" w:hAnsi="Times New Roman" w:cs="Times New Roman"/>
          <w:color w:val="000000"/>
          <w:sz w:val="21"/>
          <w:szCs w:val="21"/>
        </w:rPr>
        <w:t>0</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支路不可能短路而是断路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读出乙和丙的示数分别为</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=0.52 A、</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=1 A</w:t>
      </w:r>
      <w:r>
        <w:rPr>
          <w:rFonts w:ascii="宋体" w:eastAsia="宋体" w:hAnsi="宋体" w:cs="宋体"/>
          <w:color w:val="000000"/>
          <w:sz w:val="21"/>
          <w:szCs w:val="21"/>
        </w:rPr>
        <w:t>在误差范围内可以得出</w:t>
      </w:r>
      <w:r>
        <w:rPr>
          <w:rFonts w:ascii="Times New Roman" w:eastAsia="Times New Roman" w:hAnsi="Times New Roman" w:cs="Times New Roman"/>
          <w:i/>
          <w:iCs/>
          <w:color w:val="000000"/>
          <w:sz w:val="21"/>
          <w:szCs w:val="21"/>
        </w:rPr>
        <w:t>I=I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为了验证结论的普遍性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改变电路中的电流还可以通过改变电源电压继续进行验证</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22.(1)  【答案】</w:t>
      </w:r>
      <w:r>
        <w:rPr>
          <w:rFonts w:ascii="宋体" w:eastAsia="宋体" w:hAnsi="宋体" w:cs="宋体"/>
          <w:color w:val="000000"/>
          <w:sz w:val="21"/>
          <w:szCs w:val="21"/>
        </w:rPr>
        <w:t>已知</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的示数是</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=0.5 A,</w:t>
      </w:r>
      <w:r>
        <w:rPr>
          <w:rFonts w:ascii="宋体" w:eastAsia="宋体" w:hAnsi="宋体" w:cs="宋体"/>
          <w:color w:val="000000"/>
          <w:sz w:val="21"/>
          <w:szCs w:val="21"/>
        </w:rPr>
        <w:t>经过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的电流是另一条支路中的两倍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所以经过</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中的电流是</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×2=0.5 A×2=1 A;</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干路中电流表的读数等于</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2</w:t>
      </w:r>
      <w:r>
        <w:rPr>
          <w:rFonts w:ascii="Times New Roman" w:eastAsia="Times New Roman" w:hAnsi="Times New Roman" w:cs="Times New Roman"/>
          <w:color w:val="000000"/>
          <w:sz w:val="21"/>
          <w:szCs w:val="21"/>
        </w:rPr>
        <w:t>=1 A+0.5A=1.5 A;</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因</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的示数是</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=0.5 A,</w:t>
      </w:r>
      <w:r>
        <w:rPr>
          <w:rFonts w:ascii="宋体" w:eastAsia="宋体" w:hAnsi="宋体" w:cs="宋体"/>
          <w:color w:val="000000"/>
          <w:sz w:val="21"/>
          <w:szCs w:val="21"/>
        </w:rPr>
        <w:t>所以可以选用</w:t>
      </w:r>
      <w:r>
        <w:rPr>
          <w:rFonts w:ascii="Times New Roman" w:eastAsia="Times New Roman" w:hAnsi="Times New Roman" w:cs="Times New Roman"/>
          <w:color w:val="000000"/>
          <w:sz w:val="21"/>
          <w:szCs w:val="21"/>
        </w:rPr>
        <w:t>0~0.6 A,A</w:t>
      </w:r>
      <w:r>
        <w:rPr>
          <w:rFonts w:ascii="宋体" w:eastAsia="宋体" w:hAnsi="宋体" w:cs="宋体"/>
          <w:color w:val="000000"/>
          <w:sz w:val="21"/>
          <w:szCs w:val="21"/>
        </w:rPr>
        <w:t>表取</w:t>
      </w:r>
      <w:r>
        <w:rPr>
          <w:rFonts w:ascii="Times New Roman" w:eastAsia="Times New Roman" w:hAnsi="Times New Roman" w:cs="Times New Roman"/>
          <w:color w:val="000000"/>
          <w:sz w:val="21"/>
          <w:szCs w:val="21"/>
        </w:rPr>
        <w:t>0~3 A</w:t>
      </w:r>
      <w:r>
        <w:rPr>
          <w:rFonts w:ascii="宋体" w:eastAsia="宋体" w:hAnsi="宋体" w:cs="宋体"/>
          <w:color w:val="000000"/>
          <w:sz w:val="21"/>
          <w:szCs w:val="21"/>
        </w:rPr>
        <w:t>的量程</w:t>
      </w:r>
      <w:r>
        <w:rPr>
          <w:rFonts w:ascii="Times New Roman" w:eastAsia="Times New Roman" w:hAnsi="Times New Roman" w:cs="Times New Roman"/>
          <w:color w:val="000000"/>
          <w:sz w:val="21"/>
          <w:szCs w:val="21"/>
        </w:rPr>
        <w:t>.</w:t>
      </w:r>
    </w:p>
    <w:sectPr>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Normal"/>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Normal"/>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qFormat/>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qFormat/>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qFormat/>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qFormat/>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header" Target="header3.xml" /><Relationship Id="rId33" Type="http://schemas.openxmlformats.org/officeDocument/2006/relationships/footer" Target="footer3.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2018-08-06T00:40:26Z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