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800pt;margin-top:840pt;mso-position-horizontal-relative:page;mso-position-vertical-relative:top-margin-area;position:absolute;width:20pt;z-index:251658240">
            <v:imagedata r:id="rId6" o:title=""/>
          </v:shape>
        </w:pict>
      </w:r>
      <w:r>
        <w:rPr>
          <w:rFonts w:ascii="宋体" w:hAnsi="宋体" w:cs="宋体"/>
          <w:b/>
          <w:bCs/>
          <w:sz w:val="30"/>
          <w:szCs w:val="30"/>
        </w:rPr>
        <w:t>（人教实验版） 九年级（全一册） 第十五章 第3节 串联和并联 课时练 （锦州中学）</w:t>
      </w:r>
    </w:p>
    <w:p>
      <w:pPr>
        <w:widowControl/>
        <w:spacing w:before="0" w:after="0" w:line="240" w:lineRule="auto"/>
        <w:ind w:left="0" w:right="0"/>
        <w:jc w:val="center"/>
      </w:pPr>
      <w:r>
        <w:rPr>
          <w:rFonts w:ascii="宋体" w:eastAsia="宋体" w:hAnsi="宋体" w:cs="宋体"/>
          <w:color w:val="000000"/>
          <w:sz w:val="21"/>
          <w:szCs w:val="21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四个电路图中属于串联电路的是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742950" cy="614680"/>
            <wp:effectExtent l="0" t="0" r="0" b="0"/>
            <wp:docPr id="98506054" name="0 Imagen" descr="images/33bc47fe-9591-403c-94fd-34ec33a5a0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6054" name="0 Imagen" descr="images/33bc47fe-9591-403c-94fd-34ec33a5a0c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713105" cy="612140"/>
            <wp:effectExtent l="0" t="0" r="0" b="0"/>
            <wp:docPr id="387189697" name="0 Imagen" descr="images/dda30e8c-0fff-482f-955e-25ce36c989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89697" name="0 Imagen" descr="images/dda30e8c-0fff-482f-955e-25ce36c989d6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742950" cy="617220"/>
            <wp:effectExtent l="0" t="0" r="0" b="0"/>
            <wp:docPr id="182168241" name="0 Imagen" descr="images/10a75ed4-9785-4f16-a394-803a18519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8241" name="0 Imagen" descr="images/10a75ed4-9785-4f16-a394-803a1851951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756920" cy="624205"/>
            <wp:effectExtent l="0" t="0" r="0" b="0"/>
            <wp:docPr id="137343956" name="0 Imagen" descr="images/05b3d603-58ea-45e1-8436-3130984b3b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3956" name="0 Imagen" descr="images/05b3d603-58ea-45e1-8436-3130984b3b1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59" cy="62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一般电路中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开关应最靠近电源的正极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在连接电路的过程中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开关应断开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几盏灯总是同时亮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同时熄灭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它们必定串联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用一只开关控制两盏灯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这两盏灯不可能并联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</w:rPr>
        <w:t>楼道里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夜间只是偶尔有人经过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电灯总是亮着会浪费电能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小明和小刚利用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光控开关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”(</w:t>
      </w:r>
      <w:r>
        <w:rPr>
          <w:rFonts w:ascii="宋体" w:eastAsia="宋体" w:hAnsi="宋体" w:cs="宋体"/>
          <w:color w:val="000000"/>
          <w:sz w:val="21"/>
          <w:szCs w:val="21"/>
        </w:rPr>
        <w:t>天黑时自动闭合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天亮时自动断开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声控开关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”(</w:t>
      </w:r>
      <w:r>
        <w:rPr>
          <w:rFonts w:ascii="宋体" w:eastAsia="宋体" w:hAnsi="宋体" w:cs="宋体"/>
          <w:color w:val="000000"/>
          <w:sz w:val="21"/>
          <w:szCs w:val="21"/>
        </w:rPr>
        <w:t>当有人走动发出声音时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自动闭合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无人走动没有声音时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自动断开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设计了如图所示电路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使楼道照明变得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智能化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”,</w:t>
      </w:r>
      <w:r>
        <w:rPr>
          <w:rFonts w:ascii="宋体" w:eastAsia="宋体" w:hAnsi="宋体" w:cs="宋体"/>
          <w:color w:val="000000"/>
          <w:sz w:val="21"/>
          <w:szCs w:val="21"/>
        </w:rPr>
        <w:t>下列符合这种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智能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要求的电路图是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973455" cy="798830"/>
            <wp:effectExtent l="0" t="0" r="0" b="0"/>
            <wp:docPr id="687686883" name="0 Imagen" descr="images/c5c005ec-44a5-4768-95c4-690128aaf2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86883" name="0 Imagen" descr="images/c5c005ec-44a5-4768-95c4-690128aaf29b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94" cy="79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916305" cy="795020"/>
            <wp:effectExtent l="0" t="0" r="0" b="0"/>
            <wp:docPr id="405950343" name="0 Imagen" descr="images/093f9370-c51c-4464-ae28-7adb743ec2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50343" name="0 Imagen" descr="images/093f9370-c51c-4464-ae28-7adb743ec2d6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8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987425" cy="804545"/>
            <wp:effectExtent l="0" t="0" r="0" b="0"/>
            <wp:docPr id="425262968" name="0 Imagen" descr="images/bdd76578-6256-415c-9b50-c903701d3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62968" name="0 Imagen" descr="images/bdd76578-6256-415c-9b50-c903701d3e80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1035050" cy="795020"/>
            <wp:effectExtent l="0" t="0" r="0" b="0"/>
            <wp:docPr id="105028458" name="0 Imagen" descr="images/0adf8a9f-74ff-4199-83ea-78d24a21dd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8458" name="0 Imagen" descr="images/0adf8a9f-74ff-4199-83ea-78d24a21ddc5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558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</w:rPr>
        <w:t>小聪家里有一台透明门的电冰箱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当他打开冰箱门时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冰箱内的灯就亮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当他关闭冰箱门时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冰箱内的灯就熄灭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但压缩机依然工作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小聪断定冰箱门上有一个开关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S,</w:t>
      </w:r>
      <w:r>
        <w:rPr>
          <w:rFonts w:ascii="宋体" w:eastAsia="宋体" w:hAnsi="宋体" w:cs="宋体"/>
          <w:color w:val="000000"/>
          <w:sz w:val="21"/>
          <w:szCs w:val="21"/>
        </w:rPr>
        <w:t>下面小聪的判断正确的是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冰箱内的照明灯和压缩机串联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冰箱内的照明灯和压缩机并联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在干路上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冰箱内的照明灯和压缩机并联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和照明灯串联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冰箱内的照明灯和压缩机并联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和压缩机串联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</w:rPr>
        <w:t>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组成串联电路中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的学生实验中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闭合时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均不亮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某同学用一根导线去检查电路的故障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他将导线先并接在灯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两端时发现灯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然后并接在灯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两端时发现两灯均不亮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由此可以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判断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276985" cy="865505"/>
            <wp:effectExtent l="0" t="0" r="0" b="0"/>
            <wp:docPr id="980174617" name="0 Imagen" descr="images/48fe7bde-d479-4055-8e18-9374981004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74617" name="0 Imagen" descr="images/48fe7bde-d479-4055-8e18-93749810047d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短路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断路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断路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短路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</w:rPr>
        <w:t>小亮家的卫生间按图所示的电路安装了照明灯和换气扇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47420" cy="688340"/>
            <wp:effectExtent l="0" t="0" r="0" b="0"/>
            <wp:docPr id="383975564" name="0 Imagen" descr="images/c3450840-0457-4162-9417-8fd2002235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75564" name="0 Imagen" descr="images/c3450840-0457-4162-9417-8fd20022357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只能各自独立工作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而不能同时工作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只能同时工作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而不能各自独立工作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工作时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两端的电压一定相等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工作时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通过的电流一定相等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</w:rPr>
        <w:t>某反恐小组的拆弹专家在排除恐怖分子设置在飞机上的爆炸装置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),</w:t>
      </w:r>
      <w:r>
        <w:rPr>
          <w:rFonts w:ascii="宋体" w:eastAsia="宋体" w:hAnsi="宋体" w:cs="宋体"/>
          <w:color w:val="000000"/>
          <w:sz w:val="21"/>
          <w:szCs w:val="21"/>
        </w:rPr>
        <w:t>为使爆炸装置停止工作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可采取如下措施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51560" cy="920115"/>
            <wp:effectExtent l="0" t="0" r="0" b="0"/>
            <wp:docPr id="271618547" name="0 Imagen" descr="images/113d8c39-aa31-4bf0-af8f-780e1d4130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18547" name="0 Imagen" descr="images/113d8c39-aa31-4bf0-af8f-780e1d4130a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用一根导线使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线短路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用一根导线使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线短路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剪断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线</w:t>
      </w:r>
      <w:r>
        <w:rPr>
          <w:color w:val="000000"/>
          <w:sz w:val="24"/>
          <w:szCs w:val="24"/>
        </w:rPr>
        <w:t>                         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剪断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线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</w:rPr>
        <w:t>击剑比赛中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当甲方运动员的剑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图中用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击中乙方的导电服时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电路导通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且只有乙方指示灯亮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当乙方运动员的剑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图中用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击中甲方导电服时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电路导通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且只有甲方指示灯亮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如图所示的四个电路图中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符合上述要求的是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932180" cy="720090"/>
            <wp:effectExtent l="0" t="0" r="1270" b="3810"/>
            <wp:docPr id="922699693" name="0 Imagen" descr="images/8c73d053-a4ac-4870-a4d0-6e5dbc0a6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99693" name="0 Imagen" descr="images/8c73d053-a4ac-4870-a4d0-6e5dbc0a66ef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864235" cy="720090"/>
            <wp:effectExtent l="0" t="0" r="12065" b="3810"/>
            <wp:docPr id="58008973" name="0 Imagen" descr="images/7a53db36-33b9-4c7f-8998-346c07aa91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8973" name="0 Imagen" descr="images/7a53db36-33b9-4c7f-8998-346c07aa918b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788035" cy="720090"/>
            <wp:effectExtent l="0" t="0" r="12065" b="3810"/>
            <wp:docPr id="576358879" name="0 Imagen" descr="images/a4b7cbb3-dbcb-4351-b29f-f77dcf4e34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58879" name="0 Imagen" descr="images/a4b7cbb3-dbcb-4351-b29f-f77dcf4e34f3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746760" cy="720090"/>
            <wp:effectExtent l="0" t="0" r="15240" b="3810"/>
            <wp:docPr id="831622287" name="0 Imagen" descr="images/dc5c2bad-e791-4de0-8eaf-1d94b1de1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22287" name="0 Imagen" descr="images/dc5c2bad-e791-4de0-8eaf-1d94b1de17a6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9.</w:t>
      </w:r>
      <w:r>
        <w:rPr>
          <w:rFonts w:ascii="宋体" w:eastAsia="宋体" w:hAnsi="宋体" w:cs="宋体"/>
          <w:color w:val="000000"/>
          <w:sz w:val="21"/>
          <w:szCs w:val="21"/>
        </w:rPr>
        <w:t>小红发现教室里的一个开关可以同时控制两盏灯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图中符合要求的电路图是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drawing>
          <wp:inline distT="0" distB="0" distL="0" distR="0">
            <wp:extent cx="5695950" cy="1259840"/>
            <wp:effectExtent l="0" t="0" r="0" b="16510"/>
            <wp:docPr id="49198169" name="0 Imagen" descr="images/ed741891-3409-4e0e-9a0c-0f02bbba9c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8169" name="0 Imagen" descr="images/ed741891-3409-4e0e-9a0c-0f02bbba9c9f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</w:rPr>
        <w:t>如图所示的电路中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以下判断错误的是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130300" cy="740410"/>
            <wp:effectExtent l="0" t="0" r="0" b="0"/>
            <wp:docPr id="699922091" name="0 Imagen" descr="images/4ddce6f5-c85a-4a3d-ae16-b06773414c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22091" name="0 Imagen" descr="images/4ddce6f5-c85a-4a3d-ae16-b06773414c20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均闭合时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电路短路</w:t>
      </w:r>
      <w:r>
        <w:rPr>
          <w:color w:val="000000"/>
          <w:sz w:val="24"/>
          <w:szCs w:val="24"/>
        </w:rPr>
        <w:t>                 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均断开时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串联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断开时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电路中只有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工作</w:t>
      </w:r>
      <w:r>
        <w:rPr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断开时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电路中只有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工作</w:t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串联电路是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并联电路是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3087370" cy="670560"/>
            <wp:effectExtent l="0" t="0" r="0" b="0"/>
            <wp:docPr id="406682695" name="0 Imagen" descr="images/0be3dffd-0391-4e69-9dc8-06e57aba89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82695" name="0 Imagen" descr="images/0be3dffd-0391-4e69-9dc8-06e57aba894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</w:rPr>
        <w:t>在宾馆的客房常常需要插卡用电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房卡的作用是相当于一个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接在干路上的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房间里的电灯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电视等用电器是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联的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某房客把断开开关的台灯插头插入插座时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房间里其他电灯全部熄灭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保险丝熔断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故障的原因是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276985" cy="1447165"/>
            <wp:effectExtent l="0" t="0" r="18415" b="635"/>
            <wp:docPr id="440263274" name="0 Imagen" descr="images/6a5fb440-2442-42b2-832b-2e34551fa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63274" name="0 Imagen" descr="images/6a5fb440-2442-42b2-832b-2e34551fa23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</w:rPr>
        <w:t>教室里的电灯和电脑是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联的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控制电灯的开关和电灯是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联的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r>
        <w:rPr>
          <w:rFonts w:ascii="Times New Roman" w:hAnsi="Times New Roman" w:cs="Times New Roma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</w:rPr>
        <w:t>街边的路灯总是同时亮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同时灭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它们是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如图所示是一款学校常用的应急照明灯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当外部电路有电时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应急灯不亮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停电时应急灯发光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小李将应急灯中的任意一个灯泡断开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另一个灯泡仍然发光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则应急灯的两个灯泡是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。(</w:t>
      </w:r>
      <w:r>
        <w:rPr>
          <w:rFonts w:ascii="宋体" w:eastAsia="宋体" w:hAnsi="宋体" w:cs="宋体"/>
          <w:color w:val="000000"/>
          <w:sz w:val="21"/>
          <w:szCs w:val="21"/>
        </w:rPr>
        <w:t>均填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835025" cy="797560"/>
            <wp:effectExtent l="0" t="0" r="0" b="0"/>
            <wp:docPr id="151033735" name="0 Imagen" descr="images/1f26d6f1-e111-4820-997a-3a1cf910cc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3735" name="0 Imagen" descr="images/1f26d6f1-e111-4820-997a-3a1cf910cc6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429" cy="79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两个灯泡的发光情况是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要使电路中两灯串联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只要拆除导线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 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要使两灯并联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应把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 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导线移至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01700" cy="548640"/>
            <wp:effectExtent l="0" t="0" r="0" b="0"/>
            <wp:docPr id="887485919" name="0 Imagen" descr="images/a263c809-773a-402a-a2b0-9ada945857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85919" name="0 Imagen" descr="images/a263c809-773a-402a-a2b0-9ada9458576d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</w:rPr>
        <w:t>如图所示是一把既能吹冷风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又能吹热风的电吹风的简化电路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图中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是吹风机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是电热丝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将插头插入插座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若只闭合开关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电吹风吹出的是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若将开关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都闭合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电吹风吹出的是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。(</w:t>
      </w:r>
      <w:r>
        <w:rPr>
          <w:rFonts w:ascii="宋体" w:eastAsia="宋体" w:hAnsi="宋体" w:cs="宋体"/>
          <w:color w:val="000000"/>
          <w:sz w:val="21"/>
          <w:szCs w:val="21"/>
        </w:rPr>
        <w:t>均填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377315" cy="746760"/>
            <wp:effectExtent l="0" t="0" r="0" b="0"/>
            <wp:docPr id="233465077" name="0 Imagen" descr="images/5b1c9cd5-f4ea-4df2-8a9f-aa8be0df474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65077" name="0 Imagen" descr="images/5b1c9cd5-f4ea-4df2-8a9f-aa8be0df474c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</w:rPr>
        <w:t>如图所示电路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试回答下列各问题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258570" cy="895985"/>
            <wp:effectExtent l="0" t="0" r="0" b="0"/>
            <wp:docPr id="185566683" name="0 Imagen" descr="images/a8d5cc91-2e1b-4e1d-b4d5-fb795f6335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6683" name="0 Imagen" descr="images/a8d5cc91-2e1b-4e1d-b4d5-fb795f63356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若使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串联起来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则应闭合开关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若使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并联起来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则应闭合开关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若只有开关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则电路中灯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(4)</w:t>
      </w:r>
      <w:r>
        <w:rPr>
          <w:rFonts w:ascii="宋体" w:eastAsia="宋体" w:hAnsi="宋体" w:cs="宋体"/>
          <w:color w:val="000000"/>
          <w:sz w:val="21"/>
          <w:szCs w:val="21"/>
        </w:rPr>
        <w:t>若闭合开关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则电路中灯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三、简答题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</w:rPr>
        <w:t>汽车在转弯时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位于同侧的前后两个转向灯会同时闪亮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但偶尔也有车在转弯时只亮前灯或后灯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位于同侧的前后两个转向灯是如何连接的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宋体" w:eastAsia="宋体" w:hAnsi="宋体" w:cs="宋体"/>
          <w:color w:val="000000"/>
          <w:sz w:val="21"/>
          <w:szCs w:val="21"/>
        </w:rPr>
        <w:t>说出你的判断理由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要打开转向灯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司机需拨动一下方向盘旁的一根杆子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这根杆子的作用相当于电路中的哪个元件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四、作图题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</w:rPr>
        <w:t>如图是某同学连接的错误电路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对于这个电路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只需拆除一根导线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就能变成两灯连接的正确电路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请在要拆除的那根线上打上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“×”</w:t>
      </w:r>
      <w:r>
        <w:rPr>
          <w:rFonts w:ascii="宋体" w:eastAsia="宋体" w:hAnsi="宋体" w:cs="宋体"/>
          <w:color w:val="000000"/>
          <w:sz w:val="21"/>
          <w:szCs w:val="21"/>
        </w:rPr>
        <w:t>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并在方框内画出它的电路图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23620" cy="709930"/>
            <wp:effectExtent l="0" t="0" r="0" b="0"/>
            <wp:docPr id="303251542" name="0 Imagen" descr="images/80da8047-c1fb-4d30-af35-3857b5c062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51542" name="0 Imagen" descr="images/80da8047-c1fb-4d30-af35-3857b5c062f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20. </w:t>
      </w:r>
      <w:r>
        <w:rPr>
          <w:rFonts w:ascii="宋体" w:eastAsia="宋体" w:hAnsi="宋体" w:cs="宋体"/>
          <w:color w:val="000000"/>
          <w:sz w:val="21"/>
          <w:szCs w:val="21"/>
        </w:rPr>
        <w:t>请根据图甲电路图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连接图乙实物电路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3126740" cy="1084580"/>
            <wp:effectExtent l="0" t="0" r="0" b="0"/>
            <wp:docPr id="29491056" name="0 Imagen" descr="images/330f4b70-3e62-42c8-b7e9-a0c9e8720e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1056" name="0 Imagen" descr="images/330f4b70-3e62-42c8-b7e9-a0c9e8720e6a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五、实验题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21.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在学习了简单电路的知识后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小玉同学将两个小灯泡接在了电路中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两个小灯泡同时发光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断开开关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它们同时熄灭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电路接线情况不可见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请你不借助其他器材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设计一个简单的方法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判断这两个小灯泡是串联还是并联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44880" cy="581660"/>
            <wp:effectExtent l="0" t="0" r="0" b="0"/>
            <wp:docPr id="115361249" name="0 Imagen" descr="images/d0d89241-3cb8-4e97-9cb7-d4acc1f948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1249" name="0 Imagen" descr="images/d0d89241-3cb8-4e97-9cb7-d4acc1f9482f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实验时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电路正确连接后闭合开关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小灯泡有时会出现不亮的现象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请你在表格中填写简单的检修方法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tbl>
      <w:tblPr>
        <w:tblStyle w:val="TableGridPHPDOCX"/>
        <w:tblW w:w="8720" w:type="dxa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W w:w="8720" w:type="dxa"/>
          <w:tblInd w:w="0" w:type="dxa"/>
          <w:tblBorders>
            <w:top w:val="outset" w:sz="4" w:space="0" w:color="808080"/>
            <w:left w:val="outset" w:sz="4" w:space="0" w:color="808080"/>
            <w:bottom w:val="outset" w:sz="4" w:space="0" w:color="808080"/>
            <w:right w:val="outset" w:sz="4" w:space="0" w:color="808080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故障现象</w:t>
            </w:r>
          </w:p>
        </w:tc>
        <w:tc>
          <w:tcPr>
            <w:tcW w:w="436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可能原因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检修方法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灯泡不亮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示例:灯泡的灯丝断了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换灯泡</w:t>
            </w:r>
          </w:p>
        </w:tc>
        <w:tc>
          <w:tcPr>
            <w:tcW w:w="218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电路中的导线断了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18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</w:tcPr>
          <w:p>
            <w:pPr>
              <w:spacing w:after="0" w:line="240" w:lineRule="auto"/>
            </w:pP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电池没电了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18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</w:tcPr>
          <w:p>
            <w:pPr>
              <w:spacing w:after="0" w:line="240" w:lineRule="auto"/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</w:pPr>
      <w:bookmarkStart w:id="0" w:name="_GoBack"/>
      <w:r>
        <w:rPr>
          <w:rFonts w:ascii="宋体" w:hAnsi="宋体" w:cs="宋体"/>
          <w:b/>
          <w:bCs/>
          <w:sz w:val="21"/>
          <w:szCs w:val="21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电流的路径只有一条的为串联电路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开关在哪都行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，A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灯同亮同灭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也可能是并联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此时开关在干路上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，C</w:t>
      </w:r>
      <w:r>
        <w:rPr>
          <w:rFonts w:ascii="宋体" w:eastAsia="宋体" w:hAnsi="宋体" w:cs="宋体"/>
          <w:color w:val="000000"/>
          <w:sz w:val="21"/>
          <w:szCs w:val="21"/>
        </w:rPr>
        <w:t>错误行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可以把开关放在干路上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，D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3.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</w:t>
      </w:r>
      <w:r>
        <w:rPr>
          <w:rFonts w:ascii="宋体" w:eastAsia="宋体" w:hAnsi="宋体" w:cs="宋体"/>
          <w:color w:val="000000"/>
          <w:sz w:val="21"/>
          <w:szCs w:val="21"/>
        </w:rPr>
        <w:t>闭合光控开关灯泡发光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闭合声控开关会造成电源短路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;B、</w:t>
      </w:r>
      <w:r>
        <w:rPr>
          <w:rFonts w:ascii="宋体" w:eastAsia="宋体" w:hAnsi="宋体" w:cs="宋体"/>
          <w:color w:val="000000"/>
          <w:sz w:val="21"/>
          <w:szCs w:val="21"/>
        </w:rPr>
        <w:t>闭合任何一个开关灯泡都能发光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;C、</w:t>
      </w:r>
      <w:r>
        <w:rPr>
          <w:rFonts w:ascii="宋体" w:eastAsia="宋体" w:hAnsi="宋体" w:cs="宋体"/>
          <w:color w:val="000000"/>
          <w:sz w:val="21"/>
          <w:szCs w:val="21"/>
        </w:rPr>
        <w:t>闭合声控开关灯泡发光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闭合光控开关会造成电源短路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;D、</w:t>
      </w:r>
      <w:r>
        <w:rPr>
          <w:rFonts w:ascii="宋体" w:eastAsia="宋体" w:hAnsi="宋体" w:cs="宋体"/>
          <w:color w:val="000000"/>
          <w:sz w:val="21"/>
          <w:szCs w:val="21"/>
        </w:rPr>
        <w:t>两个开关串联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同时闭合灯泡才会发光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断开一个开关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灯泡不能发光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4.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当冰箱门打开时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制冷电路关闭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同时使冰箱内的照明灯点亮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当冰箱门关闭时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制冷电路启动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同时冰箱内的照明灯熄灭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宋体" w:eastAsia="宋体" w:hAnsi="宋体" w:cs="宋体"/>
          <w:color w:val="000000"/>
          <w:sz w:val="21"/>
          <w:szCs w:val="21"/>
        </w:rPr>
        <w:t>由此可知冰箱内照明灯和压缩机能独立工作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所以属于并联电路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且冰箱门上的开关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与灯泡串联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5.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导线将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短路后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而将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短路后都不亮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说明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处断路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6.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从电路图可看出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两个用电器并联并且设有单独的控制开关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因此两个用电器可以单独工作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也可以同时工作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A、B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两个用电器属于并联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并联电路中各支路电压相等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两个用电器的规格不同时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电流不相等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7.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剪断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可切断与起爆器连接的电源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使爆炸装置停止工作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线把起爆器短路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若剪断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起爆器工作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爆炸装置立即爆炸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8.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宋体" w:eastAsia="宋体" w:hAnsi="宋体" w:cs="宋体"/>
          <w:color w:val="000000"/>
          <w:sz w:val="21"/>
          <w:szCs w:val="21"/>
        </w:rPr>
        <w:t>闭合时只有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宋体" w:eastAsia="宋体" w:hAnsi="宋体" w:cs="宋体"/>
          <w:color w:val="000000"/>
          <w:sz w:val="21"/>
          <w:szCs w:val="21"/>
        </w:rPr>
        <w:t>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，S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宋体" w:eastAsia="宋体" w:hAnsi="宋体" w:cs="宋体"/>
          <w:color w:val="000000"/>
          <w:sz w:val="21"/>
          <w:szCs w:val="21"/>
        </w:rPr>
        <w:t>闭合时只有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宋体" w:eastAsia="宋体" w:hAnsi="宋体" w:cs="宋体"/>
          <w:color w:val="000000"/>
          <w:sz w:val="21"/>
          <w:szCs w:val="21"/>
        </w:rPr>
        <w:t>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符合上述条件的是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9.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一个开关如能同时控制两个灯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开关应在并联电路的干路或串联电路中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A</w:t>
      </w:r>
      <w:r>
        <w:rPr>
          <w:rFonts w:ascii="宋体" w:eastAsia="宋体" w:hAnsi="宋体" w:cs="宋体"/>
          <w:color w:val="000000"/>
          <w:sz w:val="21"/>
          <w:szCs w:val="21"/>
        </w:rPr>
        <w:t>图所示电路符合题目要求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;B</w:t>
      </w:r>
      <w:r>
        <w:rPr>
          <w:rFonts w:ascii="宋体" w:eastAsia="宋体" w:hAnsi="宋体" w:cs="宋体"/>
          <w:color w:val="000000"/>
          <w:sz w:val="21"/>
          <w:szCs w:val="21"/>
        </w:rPr>
        <w:t>图所示电路中无法控制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;C</w:t>
      </w:r>
      <w:r>
        <w:rPr>
          <w:rFonts w:ascii="宋体" w:eastAsia="宋体" w:hAnsi="宋体" w:cs="宋体"/>
          <w:color w:val="000000"/>
          <w:sz w:val="21"/>
          <w:szCs w:val="21"/>
        </w:rPr>
        <w:t>图所示电路灯泡串联分压会导致无法正常工作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;D</w:t>
      </w:r>
      <w:r>
        <w:rPr>
          <w:rFonts w:ascii="宋体" w:eastAsia="宋体" w:hAnsi="宋体" w:cs="宋体"/>
          <w:color w:val="000000"/>
          <w:sz w:val="21"/>
          <w:szCs w:val="21"/>
        </w:rPr>
        <w:t>图所示电路闭合开关会造成短路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10.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均闭合时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同时并联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17.(1) 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要使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电流应从电源正极出发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依次流经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然后回到电源负极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因此应闭合开关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要使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电流应从电源正极出发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分别流经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再汇合流回电源负极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因此应闭合开关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(3) 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若闭合开关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电路为断路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都不亮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(4) 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若只闭合开关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被短路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只有灯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18.(1)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理由是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汽车的前后转向灯可以单独工作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司机拨动方向盘旁的杆子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使电路闭合形成通路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转向灯才会工作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所以这根杆子起到了开关的作用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19. 【答案】</w:t>
      </w:r>
      <w:r>
        <w:rPr>
          <w:rFonts w:ascii="宋体" w:eastAsia="宋体" w:hAnsi="宋体" w:cs="宋体"/>
          <w:color w:val="000000"/>
          <w:sz w:val="21"/>
          <w:szCs w:val="21"/>
        </w:rPr>
        <w:t>如图答所示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758440" cy="1017905"/>
            <wp:effectExtent l="0" t="0" r="0" b="0"/>
            <wp:docPr id="786532401" name="0 Imagen" descr="images/ade08353-f018-4d9b-b70a-dd9648da44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32401" name="0 Imagen" descr="images/ade08353-f018-4d9b-b70a-dd9648da44e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20. 【答案】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483995" cy="977900"/>
            <wp:effectExtent l="0" t="0" r="0" b="0"/>
            <wp:docPr id="388058280" name="0 Imagen" descr="images/cc358670-4f32-48f7-8d59-3736bebc22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58280" name="0 Imagen" descr="images/cc358670-4f32-48f7-8d59-3736bebc22b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21.(1)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把其中一个灯泡从灯座中取下来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观察另一个灯泡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如果熄灭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则两灯是串联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如果另一个灯泡仍然发光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则两灯是并联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根据串并联电路的特点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可通过拆下一个灯泡观察另一个灯泡的发光情况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串联电路中各用电器相互影响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不能独立工作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并联电路中各用电器互不影响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能够独立工作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color w:val="000000"/>
          <w:sz w:val="21"/>
          <w:szCs w:val="21"/>
        </w:rPr>
        <w:t>换导线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换电池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电路中的导线断了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换导线即可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电池没电了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换电池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bookmarkEnd w:id="0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</w:p>
    <w:sectPr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86"/>
    <w:family w:val="auto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页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lang w:eastAsia="zh-CN"/>
      </w:rPr>
      <w:instrText>1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1</w:t>
    </w:r>
    <w:r>
      <w:fldChar w:fldCharType="end"/>
    </w:r>
    <w:r>
      <w:rPr>
        <w:rFonts w:hint="eastAsia"/>
        <w:lang w:eastAsia="zh-CN"/>
      </w:rPr>
      <w:t>页    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lang w:eastAsia="zh-CN"/>
      </w:rPr>
      <w:instrText>4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o:spid="_x0000_s2049" type="#_x0000_t32" style="height:7.5pt;margin-left:504.45pt;margin-top:6.55pt;mso-height-relative:page;mso-width-relative:page;position:absolute;width:1.5pt;z-index:251658240" coordsize="21600,21600" o:connectortype="straight" filled="f" stroked="t">
          <v:path arrowok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1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Pr>
      <w:rFonts w:asciiTheme="majorHAnsi" w:eastAsiaTheme="majorEastAsia" w:hAnsiTheme="majorHAnsi" w:cstheme="majorBidi"/>
      <w:color w:val="243F61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7F7F7F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LightShadingAccent1PHPDOCX">
    <w:name w:val="Light Shading Accent 1 PHPDOCX"/>
    <w:uiPriority w:val="60"/>
    <w:qFormat/>
    <w:pPr>
      <w:spacing w:after="0" w:line="240" w:lineRule="auto"/>
    </w:pPr>
    <w:rPr>
      <w:color w:val="3660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qFormat/>
    <w:pPr>
      <w:spacing w:after="0" w:line="240" w:lineRule="auto"/>
    </w:pPr>
    <w:rPr>
      <w:color w:val="9437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LightShadingAccent3PHPDOCX">
    <w:name w:val="Light Shading Accent 3 PHPDOCX"/>
    <w:uiPriority w:val="60"/>
    <w:qFormat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qFormat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qFormat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LightListPHPDOCX">
    <w:name w:val="Light List PHPDOCX"/>
    <w:uiPriority w:val="61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MediumList1Accent1PHPDOCX">
    <w:name w:val="Medium List 1 Accen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MediumList1Accent3PHPDOCX">
    <w:name w:val="Medium List 1 Accent 3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MediumList1Accent6PHPDOCX">
    <w:name w:val="Medium List 1 Accent 6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MediumList2PHPDOCX">
    <w:name w:val="Medium Lis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MediumGrid1Accent1PHPDOCX">
    <w:name w:val="Medium Grid 1 Accent 1 PHPDOCX"/>
    <w:uiPriority w:val="67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MediumGrid1Accent2PHPDOCX">
    <w:name w:val="Medium Grid 1 Accent 2 PHPDOCX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customStyle="1" w:styleId="MediumGrid3Accent1PHPDOCX">
    <w:name w:val="Medium Grid 3 Accent 1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customStyle="1" w:styleId="MediumGrid3Accent2PHPDOCX">
    <w:name w:val="Medium Grid 3 Accent 2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DarkListAccent2PHPDOCX">
    <w:name w:val="Dark List Accent 2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DarkListAccent3PHPDOCX">
    <w:name w:val="Dark List Accent 3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ColorfulShadingPHPDOCX">
    <w:name w:val="Colorful Shading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ColorfulGridAccent1PHPDOCX">
    <w:name w:val="Colorful Grid Accent 1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ColorfulGridAccent2PHPDOCX">
    <w:name w:val="Colorful Grid Accent 2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header" Target="header1.xml" /><Relationship Id="rId36" Type="http://schemas.openxmlformats.org/officeDocument/2006/relationships/header" Target="header2.xml" /><Relationship Id="rId37" Type="http://schemas.openxmlformats.org/officeDocument/2006/relationships/footer" Target="footer1.xml" /><Relationship Id="rId38" Type="http://schemas.openxmlformats.org/officeDocument/2006/relationships/footer" Target="footer2.xml" /><Relationship Id="rId39" Type="http://schemas.openxmlformats.org/officeDocument/2006/relationships/header" Target="header3.xml" /><Relationship Id="rId4" Type="http://schemas.openxmlformats.org/officeDocument/2006/relationships/customXml" Target="../customXml/item1.xml" /><Relationship Id="rId40" Type="http://schemas.openxmlformats.org/officeDocument/2006/relationships/footer" Target="footer3.xm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你随便的说、我认真的难过</cp:lastModifiedBy>
  <cp:revision>6</cp:revision>
  <dcterms:created xsi:type="dcterms:W3CDTF">2012-01-10T09:29:00Z</dcterms:created>
  <dcterms:modified xsi:type="dcterms:W3CDTF">2018-08-07T01:06:20Z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