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7398" w:rsidRDefault="00251E81">
      <w:pPr>
        <w:spacing w:line="360" w:lineRule="auto"/>
        <w:jc w:val="center"/>
        <w:rPr>
          <w:rFonts w:ascii="宋体" w:hAnsi="宋体"/>
          <w:b/>
          <w:sz w:val="30"/>
          <w:szCs w:val="30"/>
        </w:rPr>
      </w:pPr>
      <w:r>
        <w:rPr>
          <w:rFonts w:ascii="宋体" w:hAnsi="宋体"/>
          <w:b/>
          <w:sz w:val="30"/>
          <w:szCs w:val="3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left:0;text-align:left;margin-left:925pt;margin-top:892pt;width:32pt;height:29pt;z-index:251658240;mso-position-horizontal-relative:page;mso-position-vertical-relative:top-margin-area">
            <v:imagedata r:id="rId9" o:title=""/>
            <w10:wrap anchorx="page"/>
          </v:shape>
        </w:pict>
      </w:r>
    </w:p>
    <w:p w:rsidR="003C7398" w:rsidRPr="00726D57" w:rsidRDefault="003B25EF">
      <w:pPr>
        <w:pStyle w:val="1"/>
        <w:rPr>
          <w:color w:val="FF0000"/>
        </w:rPr>
      </w:pPr>
      <w:r w:rsidRPr="00726D57">
        <w:rPr>
          <w:rFonts w:hint="eastAsia"/>
          <w:color w:val="FF0000"/>
        </w:rPr>
        <w:t>《电流的测量》</w:t>
      </w:r>
    </w:p>
    <w:p w:rsidR="003C7398" w:rsidRDefault="003C7398">
      <w:pPr>
        <w:spacing w:line="360" w:lineRule="auto"/>
        <w:jc w:val="center"/>
        <w:rPr>
          <w:rFonts w:ascii="楷体" w:eastAsia="楷体" w:hAnsi="楷体"/>
          <w:sz w:val="24"/>
        </w:rPr>
      </w:pPr>
    </w:p>
    <w:p w:rsidR="003C7398" w:rsidRDefault="00251E81">
      <w:pPr>
        <w:spacing w:line="360" w:lineRule="auto"/>
        <w:jc w:val="left"/>
        <w:rPr>
          <w:rFonts w:ascii="宋体" w:hAnsi="宋体"/>
          <w:b/>
          <w:sz w:val="24"/>
        </w:rPr>
      </w:pPr>
      <w:r>
        <w:rPr>
          <w:rFonts w:ascii="宋体" w:hAnsi="宋体"/>
          <w:b/>
          <w:sz w:val="30"/>
          <w:szCs w:val="30"/>
        </w:rPr>
      </w:r>
      <w:r>
        <w:rPr>
          <w:rFonts w:ascii="宋体" w:hAnsi="宋体"/>
          <w:b/>
          <w:sz w:val="30"/>
          <w:szCs w:val="30"/>
        </w:rPr>
        <w:pict>
          <v:roundrect id="圆角矩形 14" o:spid="_x0000_s1038" alt="学科网(www.zxxk.com)--教育资源门户，提供试卷、教案、课件、论文、素材及各类教学资源下载，还有大量而丰富的教学相关资讯！" style="width:129.7pt;height:27.65pt;mso-left-percent:-10001;mso-top-percent:-10001;mso-position-horizontal:absolute;mso-position-horizontal-relative:char;mso-position-vertical:absolute;mso-position-vertical-relative:line;mso-left-percent:-10001;mso-top-percent:-10001;v-text-anchor:middle" arcsize="10923f" fillcolor="#c7edcc">
            <v:shadow on="t" type="perspective" color="black" opacity="13107f" origin="-.5,.5" offset="0,0" matrix=",-23853f,,15073f"/>
            <v:textbox>
              <w:txbxContent>
                <w:p w:rsidR="003C7398" w:rsidRDefault="003B25EF">
                  <w:pPr>
                    <w:pStyle w:val="12"/>
                    <w:numPr>
                      <w:ilvl w:val="0"/>
                      <w:numId w:val="1"/>
                    </w:numPr>
                    <w:ind w:firstLineChars="0"/>
                    <w:jc w:val="left"/>
                    <w:rPr>
                      <w:b/>
                      <w:color w:val="C00000"/>
                      <w:sz w:val="24"/>
                    </w:rPr>
                  </w:pPr>
                  <w:r>
                    <w:rPr>
                      <w:rFonts w:hint="eastAsia"/>
                      <w:b/>
                      <w:color w:val="C00000"/>
                      <w:sz w:val="24"/>
                    </w:rPr>
                    <w:t>教材分析</w:t>
                  </w:r>
                </w:p>
              </w:txbxContent>
            </v:textbox>
            <w10:wrap type="none"/>
            <w10:anchorlock/>
          </v:roundrect>
        </w:pict>
      </w:r>
    </w:p>
    <w:p w:rsidR="003C7398" w:rsidRDefault="003B25EF" w:rsidP="00726D57">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《电流的测量》是人民教育出版社出版的《物理》九年级第十五章第四节</w:t>
      </w:r>
      <w:r>
        <w:rPr>
          <w:rFonts w:asciiTheme="minorEastAsia" w:eastAsiaTheme="minorEastAsia" w:hAnsiTheme="minorEastAsia" w:cstheme="minorEastAsia" w:hint="eastAsia"/>
          <w:noProof/>
          <w:sz w:val="24"/>
        </w:rPr>
        <w:drawing>
          <wp:inline distT="0" distB="0" distL="114300" distR="114300">
            <wp:extent cx="114300" cy="12700"/>
            <wp:effectExtent l="0" t="0" r="0" b="0"/>
            <wp:docPr id="18" name="图片 18"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学科网(www.zxxk.com)--教育资源门户，提供试卷、教案、课件、论文、素材及各类教学资源下载，还有大量而丰富的教学相关资讯！"/>
                    <pic:cNvPicPr>
                      <a:picLocks noChangeAspect="1"/>
                    </pic:cNvPicPr>
                  </pic:nvPicPr>
                  <pic:blipFill>
                    <a:blip r:embed="rId10"/>
                    <a:stretch>
                      <a:fillRect/>
                    </a:stretch>
                  </pic:blipFill>
                  <pic:spPr>
                    <a:xfrm>
                      <a:off x="0" y="0"/>
                      <a:ext cx="114300" cy="12700"/>
                    </a:xfrm>
                    <a:prstGeom prst="rect">
                      <a:avLst/>
                    </a:prstGeom>
                  </pic:spPr>
                </pic:pic>
              </a:graphicData>
            </a:graphic>
          </wp:inline>
        </w:drawing>
      </w:r>
      <w:r>
        <w:rPr>
          <w:rFonts w:asciiTheme="minorEastAsia" w:eastAsiaTheme="minorEastAsia" w:hAnsiTheme="minorEastAsia" w:cstheme="minorEastAsia" w:hint="eastAsia"/>
          <w:sz w:val="24"/>
        </w:rPr>
        <w:t>的内容。本节由电流的强弱和电流的测量两个部分组成，与前面所学的电流的形成及电流的方向等内容一起，构成了电流概念的基本知识框架，尤其是电流表的正确使用要求，是电学实验中的基本测量工具。</w:t>
      </w:r>
    </w:p>
    <w:p w:rsidR="003C7398" w:rsidRDefault="00251E81">
      <w:pPr>
        <w:spacing w:line="360" w:lineRule="auto"/>
        <w:rPr>
          <w:rFonts w:ascii="宋体" w:hAnsi="宋体"/>
          <w:sz w:val="24"/>
        </w:rPr>
      </w:pPr>
      <w:r>
        <w:rPr>
          <w:rFonts w:ascii="宋体" w:hAnsi="宋体"/>
          <w:sz w:val="24"/>
        </w:rPr>
      </w:r>
      <w:r>
        <w:rPr>
          <w:rFonts w:ascii="宋体" w:hAnsi="宋体"/>
          <w:sz w:val="24"/>
        </w:rPr>
        <w:pict>
          <v:roundrect id="圆角矩形 15" o:spid="_x0000_s1037" alt="学科网(www.zxxk.com)--教育资源门户，提供试卷、教案、课件、论文、素材及各类教学资源下载，还有大量而丰富的教学相关资讯！" style="width:129.65pt;height:27.6pt;mso-left-percent:-10001;mso-top-percent:-10001;mso-position-horizontal:absolute;mso-position-horizontal-relative:char;mso-position-vertical:absolute;mso-position-vertical-relative:line;mso-left-percent:-10001;mso-top-percent:-10001;v-text-anchor:middle" arcsize="10923f" fillcolor="#c7edcc">
            <v:shadow on="t" type="perspective" color="black" opacity="13107f" origin="-.5,.5" offset="0,0" matrix=",-23853f,,15073f"/>
            <v:textbox>
              <w:txbxContent>
                <w:p w:rsidR="003C7398" w:rsidRDefault="003B25EF">
                  <w:pPr>
                    <w:pStyle w:val="12"/>
                    <w:numPr>
                      <w:ilvl w:val="0"/>
                      <w:numId w:val="1"/>
                    </w:numPr>
                    <w:ind w:firstLineChars="0"/>
                    <w:jc w:val="left"/>
                    <w:rPr>
                      <w:b/>
                      <w:color w:val="C00000"/>
                      <w:sz w:val="24"/>
                    </w:rPr>
                  </w:pPr>
                  <w:r>
                    <w:rPr>
                      <w:rFonts w:hint="eastAsia"/>
                      <w:b/>
                      <w:color w:val="C00000"/>
                      <w:sz w:val="24"/>
                    </w:rPr>
                    <w:t>教学目标</w:t>
                  </w:r>
                </w:p>
              </w:txbxContent>
            </v:textbox>
            <w10:wrap type="none"/>
            <w10:anchorlock/>
          </v:roundrect>
        </w:pict>
      </w:r>
    </w:p>
    <w:p w:rsidR="003C7398" w:rsidRDefault="003B25EF">
      <w:pPr>
        <w:spacing w:line="360" w:lineRule="auto"/>
        <w:rPr>
          <w:rFonts w:ascii="宋体" w:hAnsi="宋体"/>
          <w:sz w:val="24"/>
        </w:rPr>
      </w:pPr>
      <w:r>
        <w:rPr>
          <w:rFonts w:ascii="宋体" w:hAnsi="宋体" w:hint="eastAsia"/>
          <w:sz w:val="24"/>
        </w:rPr>
        <w:t>【知识与能力目标】</w:t>
      </w:r>
    </w:p>
    <w:p w:rsidR="003C7398" w:rsidRDefault="003B25EF" w:rsidP="00726D57">
      <w:pPr>
        <w:spacing w:line="360" w:lineRule="auto"/>
        <w:ind w:firstLineChars="202" w:firstLine="485"/>
        <w:rPr>
          <w:rFonts w:ascii="宋体" w:hAnsi="宋体"/>
          <w:sz w:val="24"/>
        </w:rPr>
      </w:pPr>
      <w:r>
        <w:rPr>
          <w:rFonts w:ascii="宋体" w:hAnsi="宋体" w:hint="eastAsia"/>
          <w:sz w:val="24"/>
        </w:rPr>
        <w:t>1．认识电流的大小，知道电流的单位、符号，了解生活中一些用电器的工作电流。</w:t>
      </w:r>
    </w:p>
    <w:p w:rsidR="003C7398" w:rsidRDefault="003B25EF" w:rsidP="00726D57">
      <w:pPr>
        <w:spacing w:line="360" w:lineRule="auto"/>
        <w:ind w:firstLineChars="202" w:firstLine="485"/>
        <w:rPr>
          <w:rFonts w:ascii="宋体" w:hAnsi="宋体"/>
          <w:sz w:val="24"/>
        </w:rPr>
      </w:pPr>
      <w:r>
        <w:rPr>
          <w:rFonts w:ascii="宋体" w:hAnsi="宋体" w:hint="eastAsia"/>
          <w:sz w:val="24"/>
        </w:rPr>
        <w:t xml:space="preserve">2．知道电流表的用途、符号，知道正确使用电流表的规则，并会将电流表正确接入电路中，画出相应的电路图。 </w:t>
      </w:r>
    </w:p>
    <w:p w:rsidR="003C7398" w:rsidRDefault="003B25EF" w:rsidP="00726D57">
      <w:pPr>
        <w:spacing w:line="360" w:lineRule="auto"/>
        <w:ind w:firstLineChars="202" w:firstLine="485"/>
        <w:rPr>
          <w:rFonts w:ascii="宋体" w:hAnsi="宋体"/>
          <w:sz w:val="24"/>
        </w:rPr>
      </w:pPr>
      <w:r>
        <w:rPr>
          <w:rFonts w:ascii="宋体" w:hAnsi="宋体" w:hint="eastAsia"/>
          <w:sz w:val="24"/>
        </w:rPr>
        <w:t>3．能认识电流表的量程，正确读出电流表的示数。</w:t>
      </w:r>
    </w:p>
    <w:p w:rsidR="003C7398" w:rsidRDefault="003B25EF">
      <w:pPr>
        <w:spacing w:line="360" w:lineRule="auto"/>
        <w:rPr>
          <w:rFonts w:ascii="宋体" w:hAnsi="宋体"/>
          <w:sz w:val="24"/>
        </w:rPr>
      </w:pPr>
      <w:r>
        <w:rPr>
          <w:rFonts w:ascii="宋体" w:hAnsi="宋体" w:hint="eastAsia"/>
          <w:sz w:val="24"/>
        </w:rPr>
        <w:t>【过程与方法目标】</w:t>
      </w:r>
    </w:p>
    <w:p w:rsidR="003C7398" w:rsidRDefault="003B25EF" w:rsidP="00726D57">
      <w:pPr>
        <w:spacing w:line="360" w:lineRule="auto"/>
        <w:ind w:firstLineChars="200" w:firstLine="480"/>
        <w:rPr>
          <w:rFonts w:ascii="宋体" w:hAnsi="宋体"/>
          <w:sz w:val="24"/>
        </w:rPr>
      </w:pPr>
      <w:r>
        <w:rPr>
          <w:rFonts w:ascii="宋体" w:hAnsi="宋体" w:hint="eastAsia"/>
          <w:sz w:val="24"/>
        </w:rPr>
        <w:t>通过观察认识电流表，动手连接电流表，掌握正确使用电流表的方法。</w:t>
      </w:r>
    </w:p>
    <w:p w:rsidR="003C7398" w:rsidRDefault="003B25EF">
      <w:pPr>
        <w:spacing w:line="360" w:lineRule="auto"/>
        <w:rPr>
          <w:rFonts w:ascii="宋体" w:hAnsi="宋体"/>
          <w:sz w:val="24"/>
        </w:rPr>
      </w:pPr>
      <w:r>
        <w:rPr>
          <w:rFonts w:ascii="宋体" w:hAnsi="宋体" w:hint="eastAsia"/>
          <w:sz w:val="24"/>
        </w:rPr>
        <w:t>【情感态度价值观目标】</w:t>
      </w:r>
    </w:p>
    <w:p w:rsidR="003C7398" w:rsidRDefault="003B25EF" w:rsidP="00726D57">
      <w:pPr>
        <w:wordWrap w:val="0"/>
        <w:autoSpaceDE w:val="0"/>
        <w:autoSpaceDN w:val="0"/>
        <w:adjustRightInd w:val="0"/>
        <w:snapToGrid w:val="0"/>
        <w:spacing w:line="360" w:lineRule="auto"/>
        <w:ind w:firstLineChars="200" w:firstLine="480"/>
        <w:textAlignment w:val="center"/>
        <w:rPr>
          <w:rFonts w:ascii="宋体" w:hAnsi="宋体"/>
          <w:sz w:val="24"/>
        </w:rPr>
      </w:pPr>
      <w:r>
        <w:rPr>
          <w:rFonts w:ascii="宋体" w:hAnsi="宋体" w:hint="eastAsia"/>
          <w:sz w:val="24"/>
        </w:rPr>
        <w:t>1．通过小组间的实验合作，培养学生积极参与、团结合作的良好品质。</w:t>
      </w:r>
    </w:p>
    <w:p w:rsidR="003C7398" w:rsidRDefault="003B25EF" w:rsidP="00726D57">
      <w:pPr>
        <w:wordWrap w:val="0"/>
        <w:autoSpaceDE w:val="0"/>
        <w:autoSpaceDN w:val="0"/>
        <w:adjustRightInd w:val="0"/>
        <w:snapToGrid w:val="0"/>
        <w:spacing w:line="360" w:lineRule="auto"/>
        <w:ind w:firstLineChars="200" w:firstLine="480"/>
        <w:textAlignment w:val="center"/>
        <w:rPr>
          <w:rFonts w:ascii="宋体" w:hAnsi="宋体"/>
          <w:sz w:val="24"/>
        </w:rPr>
      </w:pPr>
      <w:r>
        <w:rPr>
          <w:rFonts w:ascii="宋体" w:hAnsi="宋体" w:hint="eastAsia"/>
          <w:sz w:val="24"/>
        </w:rPr>
        <w:t>2．使学生有将自己的见解与他人交流的愿望，认识交流的重要性。</w:t>
      </w:r>
    </w:p>
    <w:p w:rsidR="003C7398" w:rsidRDefault="00251E81">
      <w:pPr>
        <w:spacing w:line="360" w:lineRule="auto"/>
        <w:rPr>
          <w:rFonts w:ascii="黑体" w:eastAsia="黑体" w:hAnsi="Dotum"/>
          <w:sz w:val="24"/>
        </w:rPr>
      </w:pPr>
      <w:r>
        <w:rPr>
          <w:rFonts w:ascii="黑体" w:eastAsia="黑体" w:hAnsi="Dotum"/>
          <w:sz w:val="24"/>
        </w:rPr>
      </w:r>
      <w:r>
        <w:rPr>
          <w:rFonts w:ascii="黑体" w:eastAsia="黑体" w:hAnsi="Dotum"/>
          <w:sz w:val="24"/>
        </w:rPr>
        <w:pict>
          <v:roundrect id="圆角矩形 16" o:spid="_x0000_s1036" alt="学科网(www.zxxk.com)--教育资源门户，提供试卷、教案、课件、论文、素材及各类教学资源下载，还有大量而丰富的教学相关资讯！" style="width:129.65pt;height:27.6pt;mso-left-percent:-10001;mso-top-percent:-10001;mso-position-horizontal:absolute;mso-position-horizontal-relative:char;mso-position-vertical:absolute;mso-position-vertical-relative:line;mso-left-percent:-10001;mso-top-percent:-10001;v-text-anchor:middle" arcsize="10923f" fillcolor="#c7edcc">
            <v:shadow on="t" type="perspective" color="black" opacity="13107f" origin="-.5,.5" offset="0,0" matrix=",-23853f,,15073f"/>
            <v:textbox>
              <w:txbxContent>
                <w:p w:rsidR="003C7398" w:rsidRDefault="003B25EF">
                  <w:pPr>
                    <w:pStyle w:val="12"/>
                    <w:numPr>
                      <w:ilvl w:val="0"/>
                      <w:numId w:val="1"/>
                    </w:numPr>
                    <w:ind w:firstLineChars="0"/>
                    <w:jc w:val="left"/>
                    <w:rPr>
                      <w:b/>
                      <w:color w:val="C00000"/>
                      <w:sz w:val="24"/>
                    </w:rPr>
                  </w:pPr>
                  <w:r>
                    <w:rPr>
                      <w:rFonts w:hint="eastAsia"/>
                      <w:b/>
                      <w:color w:val="C00000"/>
                      <w:sz w:val="24"/>
                    </w:rPr>
                    <w:t>教学重难点</w:t>
                  </w:r>
                </w:p>
                <w:p w:rsidR="003C7398" w:rsidRDefault="003C7398">
                  <w:pPr>
                    <w:pStyle w:val="12"/>
                    <w:numPr>
                      <w:ilvl w:val="0"/>
                      <w:numId w:val="1"/>
                    </w:numPr>
                    <w:ind w:firstLineChars="0"/>
                    <w:jc w:val="left"/>
                    <w:rPr>
                      <w:b/>
                      <w:color w:val="C00000"/>
                      <w:sz w:val="24"/>
                    </w:rPr>
                  </w:pPr>
                </w:p>
              </w:txbxContent>
            </v:textbox>
            <w10:wrap type="none"/>
            <w10:anchorlock/>
          </v:roundrect>
        </w:pict>
      </w:r>
    </w:p>
    <w:p w:rsidR="003C7398" w:rsidRDefault="003B25EF">
      <w:pPr>
        <w:spacing w:line="360" w:lineRule="auto"/>
        <w:rPr>
          <w:rFonts w:ascii="宋体" w:hAnsi="宋体"/>
          <w:sz w:val="24"/>
        </w:rPr>
      </w:pPr>
      <w:r>
        <w:rPr>
          <w:rFonts w:ascii="宋体" w:hAnsi="宋体" w:hint="eastAsia"/>
          <w:sz w:val="24"/>
        </w:rPr>
        <w:lastRenderedPageBreak/>
        <w:t>【教学重点】</w:t>
      </w:r>
    </w:p>
    <w:p w:rsidR="003C7398" w:rsidRDefault="003B25EF" w:rsidP="00726D57">
      <w:pPr>
        <w:spacing w:line="360" w:lineRule="auto"/>
        <w:ind w:firstLineChars="200" w:firstLine="480"/>
        <w:rPr>
          <w:rFonts w:ascii="宋体" w:hAnsi="宋体"/>
          <w:sz w:val="24"/>
        </w:rPr>
      </w:pPr>
      <w:r>
        <w:rPr>
          <w:rFonts w:ascii="宋体" w:hAnsi="宋体" w:hint="eastAsia"/>
          <w:sz w:val="24"/>
        </w:rPr>
        <w:t>电流表的连接</w:t>
      </w:r>
      <w:r>
        <w:rPr>
          <w:rFonts w:ascii="宋体" w:hAnsi="宋体" w:hint="eastAsia"/>
          <w:noProof/>
          <w:sz w:val="24"/>
        </w:rPr>
        <w:drawing>
          <wp:inline distT="0" distB="0" distL="114300" distR="114300">
            <wp:extent cx="139700" cy="13970"/>
            <wp:effectExtent l="0" t="0" r="0" b="0"/>
            <wp:docPr id="15" name="图片 15"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学科网(www.zxxk.com)--教育资源门户，提供试卷、教案、课件、论文、素材及各类教学资源下载，还有大量而丰富的教学相关资讯！"/>
                    <pic:cNvPicPr>
                      <a:picLocks noChangeAspect="1"/>
                    </pic:cNvPicPr>
                  </pic:nvPicPr>
                  <pic:blipFill>
                    <a:blip r:embed="rId10"/>
                    <a:stretch>
                      <a:fillRect/>
                    </a:stretch>
                  </pic:blipFill>
                  <pic:spPr>
                    <a:xfrm>
                      <a:off x="0" y="0"/>
                      <a:ext cx="139700" cy="13970"/>
                    </a:xfrm>
                    <a:prstGeom prst="rect">
                      <a:avLst/>
                    </a:prstGeom>
                  </pic:spPr>
                </pic:pic>
              </a:graphicData>
            </a:graphic>
          </wp:inline>
        </w:drawing>
      </w:r>
      <w:r>
        <w:rPr>
          <w:rFonts w:ascii="宋体" w:hAnsi="宋体" w:hint="eastAsia"/>
          <w:sz w:val="24"/>
        </w:rPr>
        <w:t>和读数</w:t>
      </w:r>
    </w:p>
    <w:p w:rsidR="003C7398" w:rsidRDefault="003B25EF">
      <w:pPr>
        <w:spacing w:line="360" w:lineRule="auto"/>
        <w:rPr>
          <w:rFonts w:ascii="宋体" w:hAnsi="宋体"/>
          <w:sz w:val="24"/>
        </w:rPr>
      </w:pPr>
      <w:r>
        <w:rPr>
          <w:rFonts w:ascii="宋体" w:hAnsi="宋体" w:hint="eastAsia"/>
          <w:sz w:val="24"/>
        </w:rPr>
        <w:t>【教学难点】</w:t>
      </w:r>
    </w:p>
    <w:p w:rsidR="003C7398" w:rsidRDefault="003B25EF" w:rsidP="00726D57">
      <w:pPr>
        <w:spacing w:line="360" w:lineRule="auto"/>
        <w:ind w:firstLineChars="200" w:firstLine="480"/>
        <w:rPr>
          <w:rFonts w:ascii="宋体" w:hAnsi="宋体"/>
          <w:sz w:val="24"/>
        </w:rPr>
      </w:pPr>
      <w:r>
        <w:rPr>
          <w:rFonts w:ascii="宋体" w:hAnsi="宋体" w:hint="eastAsia"/>
          <w:sz w:val="24"/>
        </w:rPr>
        <w:t>电流表的连接</w:t>
      </w:r>
      <w:r>
        <w:rPr>
          <w:rFonts w:ascii="宋体" w:hAnsi="宋体" w:cs="宋体" w:hint="eastAsia"/>
          <w:color w:val="000000"/>
          <w:kern w:val="0"/>
          <w:sz w:val="24"/>
        </w:rPr>
        <w:t>。</w:t>
      </w:r>
      <w:r>
        <w:rPr>
          <w:rFonts w:ascii="宋体" w:hAnsi="宋体" w:hint="eastAsia"/>
          <w:sz w:val="24"/>
        </w:rPr>
        <w:t xml:space="preserve">                            </w:t>
      </w:r>
    </w:p>
    <w:p w:rsidR="003C7398" w:rsidRDefault="00251E81">
      <w:pPr>
        <w:spacing w:line="360" w:lineRule="auto"/>
        <w:rPr>
          <w:rFonts w:ascii="宋体" w:hAnsi="宋体"/>
          <w:sz w:val="24"/>
        </w:rPr>
      </w:pPr>
      <w:r>
        <w:rPr>
          <w:rFonts w:ascii="宋体" w:hAnsi="宋体"/>
          <w:sz w:val="24"/>
        </w:rPr>
      </w:r>
      <w:r>
        <w:rPr>
          <w:rFonts w:ascii="宋体" w:hAnsi="宋体"/>
          <w:sz w:val="24"/>
        </w:rPr>
        <w:pict>
          <v:roundrect id="圆角矩形 17" o:spid="_x0000_s1035" alt="学科网(www.zxxk.com)--教育资源门户，提供试卷、教案、课件、论文、素材及各类教学资源下载，还有大量而丰富的教学相关资讯！" style="width:129.65pt;height:27.6pt;mso-left-percent:-10001;mso-top-percent:-10001;mso-position-horizontal:absolute;mso-position-horizontal-relative:char;mso-position-vertical:absolute;mso-position-vertical-relative:line;mso-left-percent:-10001;mso-top-percent:-10001;v-text-anchor:middle" arcsize="10923f" fillcolor="#c7edcc">
            <v:shadow on="t" type="perspective" color="black" opacity="13107f" origin="-.5,.5" offset="0,0" matrix=",-23853f,,15073f"/>
            <v:textbox>
              <w:txbxContent>
                <w:p w:rsidR="003C7398" w:rsidRDefault="003B25EF">
                  <w:pPr>
                    <w:pStyle w:val="12"/>
                    <w:numPr>
                      <w:ilvl w:val="0"/>
                      <w:numId w:val="1"/>
                    </w:numPr>
                    <w:ind w:firstLineChars="0"/>
                    <w:jc w:val="left"/>
                    <w:rPr>
                      <w:b/>
                      <w:color w:val="C00000"/>
                      <w:sz w:val="24"/>
                    </w:rPr>
                  </w:pPr>
                  <w:r>
                    <w:rPr>
                      <w:rFonts w:hint="eastAsia"/>
                      <w:b/>
                      <w:color w:val="C00000"/>
                      <w:sz w:val="24"/>
                    </w:rPr>
                    <w:t>课前准备</w:t>
                  </w:r>
                </w:p>
                <w:p w:rsidR="003C7398" w:rsidRDefault="003C7398">
                  <w:pPr>
                    <w:pStyle w:val="12"/>
                    <w:numPr>
                      <w:ilvl w:val="0"/>
                      <w:numId w:val="1"/>
                    </w:numPr>
                    <w:ind w:firstLineChars="0"/>
                    <w:jc w:val="left"/>
                    <w:rPr>
                      <w:b/>
                      <w:color w:val="C00000"/>
                      <w:sz w:val="24"/>
                    </w:rPr>
                  </w:pPr>
                </w:p>
              </w:txbxContent>
            </v:textbox>
            <w10:wrap type="none"/>
            <w10:anchorlock/>
          </v:roundrect>
        </w:pict>
      </w:r>
    </w:p>
    <w:p w:rsidR="003C7398" w:rsidRDefault="003B25EF">
      <w:pPr>
        <w:pStyle w:val="a3"/>
        <w:wordWrap w:val="0"/>
        <w:autoSpaceDE w:val="0"/>
        <w:autoSpaceDN w:val="0"/>
        <w:adjustRightInd w:val="0"/>
        <w:snapToGrid w:val="0"/>
        <w:spacing w:line="360" w:lineRule="auto"/>
        <w:ind w:firstLine="420"/>
        <w:textAlignment w:val="center"/>
        <w:rPr>
          <w:rFonts w:ascii="Times New Roman" w:hAnsi="Times New Roman" w:cs="Times New Roman"/>
          <w:color w:val="000000"/>
          <w:sz w:val="24"/>
          <w:szCs w:val="24"/>
        </w:rPr>
      </w:pPr>
      <w:r>
        <w:rPr>
          <w:rFonts w:ascii="Times New Roman" w:hAnsi="Times New Roman" w:cs="Times New Roman" w:hint="eastAsia"/>
          <w:color w:val="000000"/>
          <w:sz w:val="24"/>
          <w:szCs w:val="24"/>
        </w:rPr>
        <w:t>多媒体课件，调光灯，导线，小灯泡，开关、电流表，电池等。</w:t>
      </w:r>
    </w:p>
    <w:p w:rsidR="003C7398" w:rsidRDefault="00251E81">
      <w:pPr>
        <w:pStyle w:val="a3"/>
        <w:wordWrap w:val="0"/>
        <w:autoSpaceDE w:val="0"/>
        <w:autoSpaceDN w:val="0"/>
        <w:adjustRightInd w:val="0"/>
        <w:snapToGrid w:val="0"/>
        <w:spacing w:line="36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r>
      <w:r>
        <w:rPr>
          <w:rFonts w:ascii="Times New Roman" w:hAnsi="Times New Roman" w:cs="Times New Roman"/>
          <w:color w:val="000000"/>
          <w:sz w:val="24"/>
          <w:szCs w:val="24"/>
        </w:rPr>
        <w:pict>
          <v:roundrect id="圆角矩形 18" o:spid="_x0000_s1034" alt="学科网(www.zxxk.com)--教育资源门户，提供试卷、教案、课件、论文、素材及各类教学资源下载，还有大量而丰富的教学相关资讯！" style="width:129.65pt;height:27.6pt;mso-left-percent:-10001;mso-top-percent:-10001;mso-position-horizontal:absolute;mso-position-horizontal-relative:char;mso-position-vertical:absolute;mso-position-vertical-relative:line;mso-left-percent:-10001;mso-top-percent:-10001;v-text-anchor:middle" arcsize="10923f" fillcolor="#c7edcc">
            <v:shadow on="t" type="perspective" color="black" opacity="13107f" origin="-.5,.5" offset="0,0" matrix=",-23853f,,15073f"/>
            <v:textbox>
              <w:txbxContent>
                <w:p w:rsidR="003C7398" w:rsidRDefault="003B25EF">
                  <w:pPr>
                    <w:pStyle w:val="12"/>
                    <w:numPr>
                      <w:ilvl w:val="0"/>
                      <w:numId w:val="1"/>
                    </w:numPr>
                    <w:ind w:firstLineChars="0"/>
                    <w:jc w:val="left"/>
                    <w:rPr>
                      <w:b/>
                      <w:color w:val="C00000"/>
                      <w:sz w:val="24"/>
                    </w:rPr>
                  </w:pPr>
                  <w:r>
                    <w:rPr>
                      <w:rFonts w:hint="eastAsia"/>
                      <w:b/>
                      <w:color w:val="C00000"/>
                      <w:sz w:val="24"/>
                    </w:rPr>
                    <w:t>教学过程</w:t>
                  </w:r>
                </w:p>
              </w:txbxContent>
            </v:textbox>
            <w10:wrap type="none"/>
            <w10:anchorlock/>
          </v:roundrect>
        </w:pict>
      </w:r>
    </w:p>
    <w:p w:rsidR="003C7398" w:rsidRDefault="003B25EF">
      <w:pPr>
        <w:spacing w:line="360" w:lineRule="auto"/>
        <w:rPr>
          <w:rFonts w:ascii="宋体" w:hAnsi="宋体"/>
          <w:b/>
          <w:sz w:val="24"/>
        </w:rPr>
      </w:pPr>
      <w:r>
        <w:rPr>
          <w:rFonts w:ascii="宋体" w:hAnsi="宋体" w:hint="eastAsia"/>
          <w:b/>
          <w:sz w:val="24"/>
        </w:rPr>
        <w:t>一、</w:t>
      </w:r>
      <w:r>
        <w:rPr>
          <w:rFonts w:ascii="宋体" w:hAnsi="宋体"/>
          <w:b/>
          <w:sz w:val="24"/>
        </w:rPr>
        <w:t>新课引入</w:t>
      </w:r>
    </w:p>
    <w:p w:rsidR="003C7398" w:rsidRDefault="003B25EF" w:rsidP="00726D57">
      <w:pPr>
        <w:spacing w:line="360" w:lineRule="auto"/>
        <w:ind w:firstLineChars="200" w:firstLine="480"/>
        <w:rPr>
          <w:rFonts w:ascii="宋体" w:hAnsi="宋体"/>
          <w:sz w:val="24"/>
        </w:rPr>
      </w:pPr>
      <w:r>
        <w:rPr>
          <w:rFonts w:ascii="宋体" w:hAnsi="宋体" w:hint="eastAsia"/>
          <w:sz w:val="24"/>
        </w:rPr>
        <w:t>【演示】1.接通电路板，使小灯泡发光。分别用一节和两节干电池给小灯泡供电，观察小灯泡的发光情况。</w:t>
      </w:r>
    </w:p>
    <w:p w:rsidR="003C7398" w:rsidRDefault="003B25EF" w:rsidP="00726D57">
      <w:pPr>
        <w:spacing w:line="360" w:lineRule="auto"/>
        <w:ind w:firstLineChars="200" w:firstLine="480"/>
        <w:rPr>
          <w:rFonts w:ascii="宋体" w:hAnsi="宋体"/>
          <w:sz w:val="24"/>
        </w:rPr>
      </w:pPr>
      <w:r>
        <w:rPr>
          <w:rFonts w:ascii="宋体" w:hAnsi="宋体" w:hint="eastAsia"/>
          <w:sz w:val="24"/>
        </w:rPr>
        <w:t>【多媒体展示】电力机车与手机</w:t>
      </w:r>
    </w:p>
    <w:p w:rsidR="003C7398" w:rsidRDefault="003B25EF" w:rsidP="00726D57">
      <w:pPr>
        <w:spacing w:line="360" w:lineRule="auto"/>
        <w:ind w:firstLineChars="200" w:firstLine="480"/>
        <w:rPr>
          <w:rFonts w:ascii="宋体" w:hAnsi="宋体"/>
          <w:sz w:val="24"/>
        </w:rPr>
      </w:pPr>
      <w:r>
        <w:rPr>
          <w:rFonts w:ascii="宋体" w:hAnsi="宋体" w:hint="eastAsia"/>
          <w:sz w:val="24"/>
        </w:rPr>
        <w:t>【提问】同一灯泡在亮度不同时通过它的电流是一样大吗？电力机车与手机中的电流是一样大的吗？</w:t>
      </w:r>
    </w:p>
    <w:p w:rsidR="003C7398" w:rsidRDefault="003B25EF">
      <w:pPr>
        <w:spacing w:line="360" w:lineRule="auto"/>
        <w:rPr>
          <w:rFonts w:ascii="宋体" w:hAnsi="宋体"/>
          <w:b/>
          <w:sz w:val="24"/>
        </w:rPr>
      </w:pPr>
      <w:r>
        <w:rPr>
          <w:rFonts w:ascii="宋体" w:hAnsi="宋体" w:hint="eastAsia"/>
          <w:b/>
          <w:sz w:val="24"/>
        </w:rPr>
        <w:t>二、新</w:t>
      </w:r>
      <w:r>
        <w:rPr>
          <w:rFonts w:ascii="宋体" w:hAnsi="宋体"/>
          <w:b/>
          <w:sz w:val="24"/>
        </w:rPr>
        <w:t>课教学</w:t>
      </w:r>
    </w:p>
    <w:p w:rsidR="003C7398" w:rsidRDefault="003B25EF" w:rsidP="00726D57">
      <w:pPr>
        <w:spacing w:line="360" w:lineRule="auto"/>
        <w:ind w:firstLineChars="200" w:firstLine="480"/>
        <w:rPr>
          <w:rFonts w:ascii="宋体" w:hAnsi="宋体"/>
          <w:sz w:val="24"/>
        </w:rPr>
      </w:pPr>
      <w:r>
        <w:rPr>
          <w:rFonts w:ascii="宋体" w:hAnsi="宋体" w:hint="eastAsia"/>
          <w:sz w:val="24"/>
        </w:rPr>
        <w:t>一、电流的强弱</w:t>
      </w:r>
    </w:p>
    <w:p w:rsidR="003C7398" w:rsidRDefault="003B25EF" w:rsidP="00726D57">
      <w:pPr>
        <w:spacing w:line="360" w:lineRule="auto"/>
        <w:ind w:firstLineChars="200" w:firstLine="480"/>
        <w:rPr>
          <w:rFonts w:ascii="宋体" w:hAnsi="宋体"/>
          <w:sz w:val="24"/>
        </w:rPr>
      </w:pPr>
      <w:r>
        <w:rPr>
          <w:rFonts w:ascii="宋体" w:hAnsi="宋体" w:hint="eastAsia"/>
          <w:sz w:val="24"/>
        </w:rPr>
        <w:t>【提问】灯泡发光说明电路中有电流，小灯泡的亮度不同说明流过的电流强弱不一样。怎样表示电流的强弱？</w:t>
      </w:r>
    </w:p>
    <w:p w:rsidR="003C7398" w:rsidRDefault="003B25EF" w:rsidP="00726D57">
      <w:pPr>
        <w:spacing w:line="360" w:lineRule="auto"/>
        <w:ind w:firstLineChars="200" w:firstLine="480"/>
        <w:rPr>
          <w:rFonts w:ascii="宋体" w:hAnsi="宋体"/>
          <w:sz w:val="24"/>
        </w:rPr>
      </w:pPr>
      <w:r>
        <w:rPr>
          <w:rFonts w:ascii="宋体" w:hAnsi="宋体" w:hint="eastAsia"/>
          <w:sz w:val="24"/>
        </w:rPr>
        <w:t>【自学】学生阅读课本 “电流的强弱”部分内容，并完成下列问题：(1)电流强弱用什么表示？用什么字母符号代表？(2)单位和符号是什么？是否还有其他的单位？换算关系怎样？)</w:t>
      </w:r>
      <w:r>
        <w:rPr>
          <w:rFonts w:ascii="宋体" w:hAnsi="宋体" w:hint="eastAsia"/>
          <w:color w:val="FFFFFF"/>
          <w:sz w:val="4"/>
        </w:rPr>
        <w:t>[</w:t>
      </w:r>
    </w:p>
    <w:p w:rsidR="003C7398" w:rsidRDefault="003B25EF" w:rsidP="00726D57">
      <w:pPr>
        <w:spacing w:line="360" w:lineRule="auto"/>
        <w:ind w:firstLineChars="200" w:firstLine="480"/>
        <w:rPr>
          <w:rFonts w:ascii="宋体" w:hAnsi="宋体"/>
          <w:sz w:val="24"/>
        </w:rPr>
      </w:pPr>
      <w:r>
        <w:rPr>
          <w:rFonts w:ascii="宋体" w:hAnsi="宋体" w:hint="eastAsia"/>
          <w:sz w:val="24"/>
        </w:rPr>
        <w:t>【小结】</w:t>
      </w:r>
    </w:p>
    <w:p w:rsidR="003C7398" w:rsidRDefault="003B25EF" w:rsidP="00726D57">
      <w:pPr>
        <w:spacing w:line="360" w:lineRule="auto"/>
        <w:ind w:firstLineChars="200" w:firstLine="480"/>
        <w:rPr>
          <w:rFonts w:ascii="宋体" w:hAnsi="宋体"/>
          <w:sz w:val="24"/>
        </w:rPr>
      </w:pPr>
      <w:r>
        <w:rPr>
          <w:rFonts w:ascii="宋体" w:hAnsi="宋体" w:hint="eastAsia"/>
          <w:sz w:val="24"/>
        </w:rPr>
        <w:t>1.电流是表示电流强弱的物理量。通常用字母</w:t>
      </w:r>
      <w:r>
        <w:rPr>
          <w:rFonts w:ascii="宋体" w:hAnsi="宋体" w:hint="eastAsia"/>
          <w:i/>
          <w:sz w:val="24"/>
        </w:rPr>
        <w:t>I</w:t>
      </w:r>
      <w:r>
        <w:rPr>
          <w:rFonts w:ascii="宋体" w:hAnsi="宋体" w:hint="eastAsia"/>
          <w:sz w:val="24"/>
        </w:rPr>
        <w:t>表示</w:t>
      </w:r>
      <w:r w:rsidR="002012C9">
        <w:rPr>
          <w:rFonts w:ascii="宋体" w:hAnsi="宋体" w:hint="eastAsia"/>
          <w:sz w:val="24"/>
        </w:rPr>
        <w:t>.</w:t>
      </w:r>
    </w:p>
    <w:p w:rsidR="003C7398" w:rsidRDefault="003B25EF" w:rsidP="00726D57">
      <w:pPr>
        <w:spacing w:line="360" w:lineRule="auto"/>
        <w:ind w:firstLineChars="200" w:firstLine="480"/>
        <w:rPr>
          <w:rFonts w:ascii="宋体" w:hAnsi="宋体"/>
          <w:sz w:val="24"/>
        </w:rPr>
      </w:pPr>
      <w:r>
        <w:rPr>
          <w:rFonts w:ascii="宋体" w:hAnsi="宋体" w:hint="eastAsia"/>
          <w:sz w:val="24"/>
        </w:rPr>
        <w:lastRenderedPageBreak/>
        <w:t>2.电流的单位是安培，简称安，符号是A。除了安培还有</w:t>
      </w:r>
      <w:proofErr w:type="gramStart"/>
      <w:r>
        <w:rPr>
          <w:rFonts w:ascii="宋体" w:hAnsi="宋体" w:hint="eastAsia"/>
          <w:sz w:val="24"/>
        </w:rPr>
        <w:t>毫安(</w:t>
      </w:r>
      <w:proofErr w:type="gramEnd"/>
      <w:r>
        <w:rPr>
          <w:rFonts w:ascii="宋体" w:hAnsi="宋体" w:hint="eastAsia"/>
          <w:sz w:val="24"/>
        </w:rPr>
        <w:t>mA)、微安(μA)。它们和安培的换算关系：1A＝10</w:t>
      </w:r>
      <w:r>
        <w:rPr>
          <w:rFonts w:ascii="宋体" w:hAnsi="宋体" w:hint="eastAsia"/>
          <w:sz w:val="24"/>
          <w:vertAlign w:val="superscript"/>
        </w:rPr>
        <w:t>3</w:t>
      </w:r>
      <w:r>
        <w:rPr>
          <w:rFonts w:ascii="宋体" w:hAnsi="宋体" w:hint="eastAsia"/>
          <w:sz w:val="24"/>
        </w:rPr>
        <w:t>mA,1A＝10</w:t>
      </w:r>
      <w:r>
        <w:rPr>
          <w:rFonts w:ascii="宋体" w:hAnsi="宋体" w:hint="eastAsia"/>
          <w:sz w:val="24"/>
          <w:vertAlign w:val="superscript"/>
        </w:rPr>
        <w:t>6</w:t>
      </w:r>
      <w:r>
        <w:rPr>
          <w:rFonts w:ascii="宋体" w:hAnsi="宋体" w:hint="eastAsia"/>
          <w:sz w:val="24"/>
        </w:rPr>
        <w:t>μA。</w:t>
      </w:r>
    </w:p>
    <w:p w:rsidR="003C7398" w:rsidRDefault="003B25EF" w:rsidP="00726D57">
      <w:pPr>
        <w:spacing w:line="360" w:lineRule="auto"/>
        <w:ind w:firstLineChars="200" w:firstLine="480"/>
        <w:rPr>
          <w:rFonts w:ascii="宋体" w:hAnsi="宋体"/>
          <w:sz w:val="24"/>
        </w:rPr>
      </w:pPr>
      <w:r>
        <w:rPr>
          <w:rFonts w:ascii="宋体" w:hAnsi="宋体" w:hint="eastAsia"/>
          <w:sz w:val="24"/>
        </w:rPr>
        <w:t>引导：学生看课本小资料“常见的电流”，了解一些常见的电流值。</w:t>
      </w:r>
    </w:p>
    <w:p w:rsidR="003C7398" w:rsidRDefault="003B25EF" w:rsidP="00726D57">
      <w:pPr>
        <w:spacing w:line="360" w:lineRule="auto"/>
        <w:ind w:firstLineChars="200" w:firstLine="480"/>
        <w:rPr>
          <w:rFonts w:ascii="宋体" w:hAnsi="宋体"/>
          <w:sz w:val="24"/>
        </w:rPr>
      </w:pPr>
      <w:r>
        <w:rPr>
          <w:rFonts w:ascii="宋体" w:hAnsi="宋体" w:hint="eastAsia"/>
          <w:sz w:val="24"/>
        </w:rPr>
        <w:t>练一练：见课件中一些单位换算题。</w:t>
      </w:r>
    </w:p>
    <w:p w:rsidR="003C7398" w:rsidRDefault="003B25EF" w:rsidP="00726D57">
      <w:pPr>
        <w:spacing w:line="360" w:lineRule="auto"/>
        <w:ind w:firstLineChars="200" w:firstLine="480"/>
        <w:rPr>
          <w:rFonts w:ascii="宋体" w:hAnsi="宋体"/>
          <w:sz w:val="24"/>
        </w:rPr>
      </w:pPr>
      <w:r>
        <w:rPr>
          <w:rFonts w:ascii="宋体" w:hAnsi="宋体" w:hint="eastAsia"/>
          <w:sz w:val="24"/>
        </w:rPr>
        <w:t>二、电流的测量</w:t>
      </w:r>
    </w:p>
    <w:p w:rsidR="003C7398" w:rsidRDefault="003B25EF" w:rsidP="00726D57">
      <w:pPr>
        <w:spacing w:line="360" w:lineRule="auto"/>
        <w:ind w:firstLineChars="200" w:firstLine="480"/>
        <w:rPr>
          <w:rFonts w:ascii="宋体" w:hAnsi="宋体"/>
          <w:sz w:val="24"/>
        </w:rPr>
      </w:pPr>
      <w:r>
        <w:rPr>
          <w:rFonts w:ascii="宋体" w:hAnsi="宋体" w:hint="eastAsia"/>
          <w:sz w:val="24"/>
        </w:rPr>
        <w:t>1.认识电流表</w:t>
      </w:r>
      <w:bookmarkStart w:id="0" w:name="_GoBack"/>
      <w:bookmarkEnd w:id="0"/>
    </w:p>
    <w:p w:rsidR="003C7398" w:rsidRDefault="003B25EF" w:rsidP="00726D57">
      <w:pPr>
        <w:spacing w:line="360" w:lineRule="auto"/>
        <w:ind w:firstLineChars="200" w:firstLine="480"/>
        <w:rPr>
          <w:rFonts w:ascii="宋体" w:hAnsi="宋体"/>
          <w:sz w:val="24"/>
        </w:rPr>
      </w:pPr>
      <w:r>
        <w:rPr>
          <w:rFonts w:ascii="宋体" w:hAnsi="宋体" w:hint="eastAsia"/>
          <w:sz w:val="24"/>
        </w:rPr>
        <w:t>【提问】电流看不见，摸不着。那么我们怎样测出电路中的电流呢？</w:t>
      </w:r>
    </w:p>
    <w:p w:rsidR="003C7398" w:rsidRDefault="003B25EF" w:rsidP="00726D57">
      <w:pPr>
        <w:spacing w:line="360" w:lineRule="auto"/>
        <w:ind w:firstLineChars="200" w:firstLine="480"/>
        <w:rPr>
          <w:rFonts w:ascii="宋体" w:hAnsi="宋体"/>
          <w:sz w:val="24"/>
        </w:rPr>
      </w:pPr>
      <w:r>
        <w:rPr>
          <w:rFonts w:ascii="宋体" w:hAnsi="宋体" w:hint="eastAsia"/>
          <w:sz w:val="24"/>
        </w:rPr>
        <w:t>电路中的电流有强弱之分，桌上摆着的这个仪表叫电流表，电路中的电流可以用电流表测量。</w:t>
      </w:r>
    </w:p>
    <w:p w:rsidR="003C7398" w:rsidRDefault="003B25EF" w:rsidP="00726D57">
      <w:pPr>
        <w:spacing w:line="360" w:lineRule="auto"/>
        <w:ind w:firstLineChars="200" w:firstLine="480"/>
        <w:rPr>
          <w:rFonts w:ascii="宋体" w:hAnsi="宋体"/>
          <w:sz w:val="24"/>
        </w:rPr>
      </w:pPr>
      <w:r>
        <w:rPr>
          <w:rFonts w:ascii="宋体" w:hAnsi="宋体" w:hint="eastAsia"/>
          <w:noProof/>
          <w:sz w:val="24"/>
        </w:rPr>
        <w:drawing>
          <wp:inline distT="0" distB="0" distL="0" distR="0">
            <wp:extent cx="981075" cy="1076325"/>
            <wp:effectExtent l="19050" t="0" r="9525" b="0"/>
            <wp:docPr id="27" name="图片 224"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24" descr="学科网(www.zxxk.com)--教育资源门户，提供试卷、教案、课件、论文、素材及各类教学资源下载，还有大量而丰富的教学相关资讯！"/>
                    <pic:cNvPicPr>
                      <a:picLocks noChangeAspect="1" noChangeArrowheads="1"/>
                    </pic:cNvPicPr>
                  </pic:nvPicPr>
                  <pic:blipFill>
                    <a:blip r:embed="rId11" cstate="print"/>
                    <a:srcRect/>
                    <a:stretch>
                      <a:fillRect/>
                    </a:stretch>
                  </pic:blipFill>
                  <pic:spPr>
                    <a:xfrm>
                      <a:off x="0" y="0"/>
                      <a:ext cx="981075" cy="1076325"/>
                    </a:xfrm>
                    <a:prstGeom prst="rect">
                      <a:avLst/>
                    </a:prstGeom>
                    <a:noFill/>
                    <a:ln w="9525">
                      <a:noFill/>
                      <a:miter lim="800000"/>
                      <a:headEnd/>
                      <a:tailEnd/>
                    </a:ln>
                  </pic:spPr>
                </pic:pic>
              </a:graphicData>
            </a:graphic>
          </wp:inline>
        </w:drawing>
      </w:r>
    </w:p>
    <w:p w:rsidR="003C7398" w:rsidRDefault="003B25EF" w:rsidP="00726D57">
      <w:pPr>
        <w:spacing w:line="360" w:lineRule="auto"/>
        <w:ind w:firstLineChars="200" w:firstLine="480"/>
        <w:rPr>
          <w:rFonts w:ascii="宋体" w:hAnsi="宋体"/>
          <w:sz w:val="24"/>
        </w:rPr>
      </w:pPr>
      <w:r>
        <w:rPr>
          <w:rFonts w:ascii="宋体" w:hAnsi="宋体" w:hint="eastAsia"/>
          <w:sz w:val="24"/>
        </w:rPr>
        <w:t>【观察】电流表构造：外壳、刻度盘、指针、接线柱。(多媒体展示结合实物进行讲解)</w:t>
      </w:r>
    </w:p>
    <w:p w:rsidR="003C7398" w:rsidRDefault="003B25EF" w:rsidP="00726D57">
      <w:pPr>
        <w:spacing w:line="360" w:lineRule="auto"/>
        <w:ind w:firstLineChars="200" w:firstLine="480"/>
        <w:rPr>
          <w:rFonts w:ascii="宋体" w:hAnsi="宋体"/>
          <w:sz w:val="24"/>
        </w:rPr>
      </w:pPr>
      <w:r>
        <w:rPr>
          <w:rFonts w:ascii="宋体" w:hAnsi="宋体" w:hint="eastAsia"/>
          <w:sz w:val="24"/>
        </w:rPr>
        <w:t>【讨论与交流】以小组为单位，观察电流表，认识电流表。看一看它上面的字母、数字、接线柱的颜色和下面的数字符号以及中间的一个小螺丝，它们各是什么意思？同学们交流讨论(着重注意表上的“一个字母”、“二个量程”、“三个接线柱”)，各小组展示，其他小组补充。</w:t>
      </w:r>
    </w:p>
    <w:p w:rsidR="003C7398" w:rsidRDefault="003B25EF" w:rsidP="00726D57">
      <w:pPr>
        <w:spacing w:line="360" w:lineRule="auto"/>
        <w:ind w:firstLineChars="200" w:firstLine="480"/>
        <w:rPr>
          <w:rFonts w:ascii="宋体" w:hAnsi="宋体"/>
          <w:sz w:val="24"/>
        </w:rPr>
      </w:pPr>
      <w:r>
        <w:rPr>
          <w:rFonts w:ascii="宋体" w:hAnsi="宋体" w:hint="eastAsia"/>
          <w:sz w:val="24"/>
        </w:rPr>
        <w:t>【小结】（1）1个字母，字母A表示电流表的单位是安培，有此符号即为电流表。</w:t>
      </w:r>
    </w:p>
    <w:p w:rsidR="003C7398" w:rsidRDefault="003B25EF" w:rsidP="00726D57">
      <w:pPr>
        <w:spacing w:line="360" w:lineRule="auto"/>
        <w:ind w:firstLineChars="200" w:firstLine="480"/>
        <w:rPr>
          <w:rFonts w:ascii="宋体" w:hAnsi="宋体"/>
          <w:sz w:val="24"/>
        </w:rPr>
      </w:pPr>
      <w:r>
        <w:rPr>
          <w:rFonts w:ascii="宋体" w:hAnsi="宋体" w:hint="eastAsia"/>
          <w:sz w:val="24"/>
        </w:rPr>
        <w:t>（2）两个量程，数字0～0.6和0～3表示不同的两个量程。0～0.6A量程的分度值是0.02A,0～3A量程的分度值是0.1A。</w:t>
      </w:r>
    </w:p>
    <w:p w:rsidR="003C7398" w:rsidRDefault="003B25EF" w:rsidP="00726D57">
      <w:pPr>
        <w:spacing w:line="360" w:lineRule="auto"/>
        <w:ind w:firstLineChars="200" w:firstLine="480"/>
        <w:rPr>
          <w:rFonts w:ascii="宋体" w:hAnsi="宋体"/>
          <w:sz w:val="24"/>
        </w:rPr>
      </w:pPr>
      <w:r>
        <w:rPr>
          <w:rFonts w:ascii="宋体" w:hAnsi="宋体" w:hint="eastAsia"/>
          <w:sz w:val="24"/>
        </w:rPr>
        <w:t>（3）三个接线柱，红色柱上标有“＋”，表示正接线柱，黑色柱上标有“－”，</w:t>
      </w:r>
      <w:r>
        <w:rPr>
          <w:rFonts w:ascii="宋体" w:hAnsi="宋体" w:hint="eastAsia"/>
          <w:sz w:val="24"/>
        </w:rPr>
        <w:lastRenderedPageBreak/>
        <w:t>表示负接线柱。接线柱旁的数值表示接入该接线柱时的量程(即满刻度时的电流数值)。</w:t>
      </w:r>
    </w:p>
    <w:p w:rsidR="003C7398" w:rsidRDefault="003B25EF" w:rsidP="00726D57">
      <w:pPr>
        <w:spacing w:line="360" w:lineRule="auto"/>
        <w:ind w:firstLineChars="200" w:firstLine="480"/>
        <w:rPr>
          <w:rFonts w:ascii="宋体" w:hAnsi="宋体"/>
          <w:sz w:val="24"/>
        </w:rPr>
      </w:pPr>
      <w:r>
        <w:rPr>
          <w:rFonts w:ascii="宋体" w:hAnsi="宋体" w:hint="eastAsia"/>
          <w:sz w:val="24"/>
        </w:rPr>
        <w:t>（4）电流表的电路符号</w:t>
      </w:r>
      <w:r>
        <w:rPr>
          <w:rFonts w:ascii="宋体" w:hAnsi="宋体"/>
          <w:noProof/>
          <w:sz w:val="24"/>
        </w:rPr>
        <w:drawing>
          <wp:inline distT="0" distB="0" distL="0" distR="0">
            <wp:extent cx="571500" cy="257175"/>
            <wp:effectExtent l="0" t="0" r="0" b="0"/>
            <wp:docPr id="2" name="对象 1" descr="学科网(www.zxxk.com)--教育资源门户，提供试卷、教案、课件、论文、素材及各类教学资源下载，还有大量而丰富的教学相关资讯！"/>
            <wp:cNvGraphicFramePr/>
            <a:graphic xmlns:a="http://schemas.openxmlformats.org/drawingml/2006/main">
              <a:graphicData uri="http://schemas.openxmlformats.org/drawingml/2006/lockedCanvas">
                <lc:lockedCanvas xmlns:lc="http://schemas.openxmlformats.org/drawingml/2006/lockedCanvas">
                  <a:nvGrpSpPr>
                    <a:cNvPr id="1" name="组合 0"/>
                    <a:cNvGrpSpPr/>
                  </a:nvGrpSpPr>
                  <a:grpSpPr>
                    <a:xfrm>
                      <a:off x="0" y="0"/>
                      <a:ext cx="1584325" cy="720725"/>
                      <a:chOff x="9734866" y="2930049"/>
                      <a:chExt cx="1584325" cy="720725"/>
                    </a:xfrm>
                  </a:grpSpPr>
                  <a:grpSp>
                    <a:nvGrpSpPr>
                      <a:cNvPr id="16" name="Group 15"/>
                      <a:cNvGrpSpPr/>
                    </a:nvGrpSpPr>
                    <a:grpSpPr bwMode="auto">
                      <a:xfrm>
                        <a:off x="9734866" y="2930049"/>
                        <a:ext cx="1584325" cy="720725"/>
                        <a:chOff x="0" y="0"/>
                        <a:chExt cx="998" cy="454"/>
                      </a:xfrm>
                    </a:grpSpPr>
                    <a:sp>
                      <a:nvSpPr>
                        <a:cNvPr id="17" name="Line 16"/>
                        <a:cNvSpPr>
                          <a:spLocks noChangeShapeType="1"/>
                        </a:cNvSpPr>
                      </a:nvSpPr>
                      <a:spPr bwMode="auto">
                        <a:xfrm>
                          <a:off x="0" y="272"/>
                          <a:ext cx="998" cy="0"/>
                        </a:xfrm>
                        <a:prstGeom prst="line">
                          <a:avLst/>
                        </a:prstGeom>
                        <a:noFill/>
                        <a:ln w="28575">
                          <a:solidFill>
                            <a:schemeClr val="tx1"/>
                          </a:solidFill>
                          <a:round/>
                        </a:ln>
                        <a:effectLst/>
                      </a:spPr>
                      <a:txSp>
                        <a:txBody>
                          <a:bodyPr/>
                          <a:lstStyle>
                            <a:defPPr>
                              <a:defRPr lang="zh-CN"/>
                            </a:defPPr>
                            <a:lvl1pPr algn="l" rtl="0" eaLnBrk="0" fontAlgn="base" hangingPunct="0">
                              <a:spcBef>
                                <a:spcPct val="0"/>
                              </a:spcBef>
                              <a:spcAft>
                                <a:spcPct val="0"/>
                              </a:spcAft>
                              <a:defRPr kern="1200">
                                <a:solidFill>
                                  <a:schemeClr val="tx1"/>
                                </a:solidFill>
                                <a:latin typeface="Arial" panose="020B0604020202020204" pitchFamily="34" charset="0"/>
                                <a:ea typeface="宋体" panose="02010600030101010101" charset="-122"/>
                                <a:cs typeface="+mn-cs"/>
                              </a:defRPr>
                            </a:lvl1pPr>
                            <a:lvl2pPr marL="457200" algn="l" rtl="0" eaLnBrk="0" fontAlgn="base" hangingPunct="0">
                              <a:spcBef>
                                <a:spcPct val="0"/>
                              </a:spcBef>
                              <a:spcAft>
                                <a:spcPct val="0"/>
                              </a:spcAft>
                              <a:defRPr kern="1200">
                                <a:solidFill>
                                  <a:schemeClr val="tx1"/>
                                </a:solidFill>
                                <a:latin typeface="Arial" panose="020B0604020202020204" pitchFamily="34" charset="0"/>
                                <a:ea typeface="宋体" panose="02010600030101010101" charset="-122"/>
                                <a:cs typeface="+mn-cs"/>
                              </a:defRPr>
                            </a:lvl2pPr>
                            <a:lvl3pPr marL="914400" algn="l" rtl="0" eaLnBrk="0" fontAlgn="base" hangingPunct="0">
                              <a:spcBef>
                                <a:spcPct val="0"/>
                              </a:spcBef>
                              <a:spcAft>
                                <a:spcPct val="0"/>
                              </a:spcAft>
                              <a:defRPr kern="1200">
                                <a:solidFill>
                                  <a:schemeClr val="tx1"/>
                                </a:solidFill>
                                <a:latin typeface="Arial" panose="020B0604020202020204" pitchFamily="34" charset="0"/>
                                <a:ea typeface="宋体" panose="02010600030101010101" charset="-122"/>
                                <a:cs typeface="+mn-cs"/>
                              </a:defRPr>
                            </a:lvl3pPr>
                            <a:lvl4pPr marL="1371600" algn="l" rtl="0" eaLnBrk="0" fontAlgn="base" hangingPunct="0">
                              <a:spcBef>
                                <a:spcPct val="0"/>
                              </a:spcBef>
                              <a:spcAft>
                                <a:spcPct val="0"/>
                              </a:spcAft>
                              <a:defRPr kern="1200">
                                <a:solidFill>
                                  <a:schemeClr val="tx1"/>
                                </a:solidFill>
                                <a:latin typeface="Arial" panose="020B0604020202020204" pitchFamily="34" charset="0"/>
                                <a:ea typeface="宋体" panose="02010600030101010101" charset="-122"/>
                                <a:cs typeface="+mn-cs"/>
                              </a:defRPr>
                            </a:lvl4pPr>
                            <a:lvl5pPr marL="1828800" algn="l" rtl="0" eaLnBrk="0" fontAlgn="base" hangingPunct="0">
                              <a:spcBef>
                                <a:spcPct val="0"/>
                              </a:spcBef>
                              <a:spcAft>
                                <a:spcPct val="0"/>
                              </a:spcAft>
                              <a:defRPr kern="1200">
                                <a:solidFill>
                                  <a:schemeClr val="tx1"/>
                                </a:solidFill>
                                <a:latin typeface="Arial" panose="020B0604020202020204" pitchFamily="34" charset="0"/>
                                <a:ea typeface="宋体" panose="02010600030101010101" charset="-122"/>
                                <a:cs typeface="+mn-cs"/>
                              </a:defRPr>
                            </a:lvl5pPr>
                            <a:lvl6pPr marL="2286000" algn="l" defTabSz="914400" rtl="0" eaLnBrk="1" latinLnBrk="0" hangingPunct="1">
                              <a:defRPr kern="1200">
                                <a:solidFill>
                                  <a:schemeClr val="tx1"/>
                                </a:solidFill>
                                <a:latin typeface="Arial" panose="020B0604020202020204" pitchFamily="34" charset="0"/>
                                <a:ea typeface="宋体" panose="02010600030101010101" charset="-122"/>
                                <a:cs typeface="+mn-cs"/>
                              </a:defRPr>
                            </a:lvl6pPr>
                            <a:lvl7pPr marL="2743200" algn="l" defTabSz="914400" rtl="0" eaLnBrk="1" latinLnBrk="0" hangingPunct="1">
                              <a:defRPr kern="1200">
                                <a:solidFill>
                                  <a:schemeClr val="tx1"/>
                                </a:solidFill>
                                <a:latin typeface="Arial" panose="020B0604020202020204" pitchFamily="34" charset="0"/>
                                <a:ea typeface="宋体" panose="02010600030101010101" charset="-122"/>
                                <a:cs typeface="+mn-cs"/>
                              </a:defRPr>
                            </a:lvl7pPr>
                            <a:lvl8pPr marL="3200400" algn="l" defTabSz="914400" rtl="0" eaLnBrk="1" latinLnBrk="0" hangingPunct="1">
                              <a:defRPr kern="1200">
                                <a:solidFill>
                                  <a:schemeClr val="tx1"/>
                                </a:solidFill>
                                <a:latin typeface="Arial" panose="020B0604020202020204" pitchFamily="34" charset="0"/>
                                <a:ea typeface="宋体" panose="02010600030101010101" charset="-122"/>
                                <a:cs typeface="+mn-cs"/>
                              </a:defRPr>
                            </a:lvl8pPr>
                            <a:lvl9pPr marL="3657600" algn="l" defTabSz="914400" rtl="0" eaLnBrk="1" latinLnBrk="0" hangingPunct="1">
                              <a:defRPr kern="1200">
                                <a:solidFill>
                                  <a:schemeClr val="tx1"/>
                                </a:solidFill>
                                <a:latin typeface="Arial" panose="020B0604020202020204" pitchFamily="34" charset="0"/>
                                <a:ea typeface="宋体" panose="02010600030101010101" charset="-122"/>
                                <a:cs typeface="+mn-cs"/>
                              </a:defRPr>
                            </a:lvl9pPr>
                          </a:lstStyle>
                          <a:p>
                            <a:endParaRPr lang="zh-CN" altLang="en-US" sz="2400">
                              <a:latin typeface="微软雅黑" panose="020B0503020204020204" pitchFamily="34" charset="-122"/>
                              <a:ea typeface="微软雅黑" panose="020B0503020204020204" pitchFamily="34" charset="-122"/>
                            </a:endParaRPr>
                          </a:p>
                        </a:txBody>
                        <a:useSpRect/>
                      </a:txSp>
                    </a:sp>
                    <a:grpSp>
                      <a:nvGrpSpPr>
                        <a:cNvPr id="4" name="Group 17"/>
                        <a:cNvGrpSpPr/>
                      </a:nvGrpSpPr>
                      <a:grpSpPr bwMode="auto">
                        <a:xfrm>
                          <a:off x="295" y="68"/>
                          <a:ext cx="385" cy="386"/>
                          <a:chOff x="0" y="0"/>
                          <a:chExt cx="385" cy="386"/>
                        </a:xfrm>
                      </a:grpSpPr>
                      <a:sp>
                        <a:nvSpPr>
                          <a:cNvPr id="21" name="Oval 18"/>
                          <a:cNvSpPr>
                            <a:spLocks noChangeArrowheads="1"/>
                          </a:cNvSpPr>
                        </a:nvSpPr>
                        <a:spPr bwMode="auto">
                          <a:xfrm>
                            <a:off x="0" y="0"/>
                            <a:ext cx="385" cy="386"/>
                          </a:xfrm>
                          <a:prstGeom prst="ellipse">
                            <a:avLst/>
                          </a:prstGeom>
                          <a:solidFill>
                            <a:schemeClr val="bg1"/>
                          </a:solidFill>
                          <a:ln w="28575">
                            <a:solidFill>
                              <a:schemeClr val="tx1"/>
                            </a:solidFill>
                            <a:round/>
                          </a:ln>
                          <a:effectLst/>
                        </a:spPr>
                        <a:txSp>
                          <a:txBody>
                            <a:bodyPr wrap="none" anchor="ctr"/>
                            <a:lstStyle>
                              <a:defPPr>
                                <a:defRPr lang="zh-CN"/>
                              </a:defPPr>
                              <a:lvl1pPr algn="l" rtl="0" eaLnBrk="0" fontAlgn="base" hangingPunct="0">
                                <a:spcBef>
                                  <a:spcPct val="0"/>
                                </a:spcBef>
                                <a:spcAft>
                                  <a:spcPct val="0"/>
                                </a:spcAft>
                                <a:defRPr kern="1200">
                                  <a:solidFill>
                                    <a:schemeClr val="tx1"/>
                                  </a:solidFill>
                                  <a:latin typeface="Arial" panose="020B0604020202020204" pitchFamily="34" charset="0"/>
                                  <a:ea typeface="宋体" panose="02010600030101010101" charset="-122"/>
                                  <a:cs typeface="+mn-cs"/>
                                </a:defRPr>
                              </a:lvl1pPr>
                              <a:lvl2pPr marL="457200" algn="l" rtl="0" eaLnBrk="0" fontAlgn="base" hangingPunct="0">
                                <a:spcBef>
                                  <a:spcPct val="0"/>
                                </a:spcBef>
                                <a:spcAft>
                                  <a:spcPct val="0"/>
                                </a:spcAft>
                                <a:defRPr kern="1200">
                                  <a:solidFill>
                                    <a:schemeClr val="tx1"/>
                                  </a:solidFill>
                                  <a:latin typeface="Arial" panose="020B0604020202020204" pitchFamily="34" charset="0"/>
                                  <a:ea typeface="宋体" panose="02010600030101010101" charset="-122"/>
                                  <a:cs typeface="+mn-cs"/>
                                </a:defRPr>
                              </a:lvl2pPr>
                              <a:lvl3pPr marL="914400" algn="l" rtl="0" eaLnBrk="0" fontAlgn="base" hangingPunct="0">
                                <a:spcBef>
                                  <a:spcPct val="0"/>
                                </a:spcBef>
                                <a:spcAft>
                                  <a:spcPct val="0"/>
                                </a:spcAft>
                                <a:defRPr kern="1200">
                                  <a:solidFill>
                                    <a:schemeClr val="tx1"/>
                                  </a:solidFill>
                                  <a:latin typeface="Arial" panose="020B0604020202020204" pitchFamily="34" charset="0"/>
                                  <a:ea typeface="宋体" panose="02010600030101010101" charset="-122"/>
                                  <a:cs typeface="+mn-cs"/>
                                </a:defRPr>
                              </a:lvl3pPr>
                              <a:lvl4pPr marL="1371600" algn="l" rtl="0" eaLnBrk="0" fontAlgn="base" hangingPunct="0">
                                <a:spcBef>
                                  <a:spcPct val="0"/>
                                </a:spcBef>
                                <a:spcAft>
                                  <a:spcPct val="0"/>
                                </a:spcAft>
                                <a:defRPr kern="1200">
                                  <a:solidFill>
                                    <a:schemeClr val="tx1"/>
                                  </a:solidFill>
                                  <a:latin typeface="Arial" panose="020B0604020202020204" pitchFamily="34" charset="0"/>
                                  <a:ea typeface="宋体" panose="02010600030101010101" charset="-122"/>
                                  <a:cs typeface="+mn-cs"/>
                                </a:defRPr>
                              </a:lvl4pPr>
                              <a:lvl5pPr marL="1828800" algn="l" rtl="0" eaLnBrk="0" fontAlgn="base" hangingPunct="0">
                                <a:spcBef>
                                  <a:spcPct val="0"/>
                                </a:spcBef>
                                <a:spcAft>
                                  <a:spcPct val="0"/>
                                </a:spcAft>
                                <a:defRPr kern="1200">
                                  <a:solidFill>
                                    <a:schemeClr val="tx1"/>
                                  </a:solidFill>
                                  <a:latin typeface="Arial" panose="020B0604020202020204" pitchFamily="34" charset="0"/>
                                  <a:ea typeface="宋体" panose="02010600030101010101" charset="-122"/>
                                  <a:cs typeface="+mn-cs"/>
                                </a:defRPr>
                              </a:lvl5pPr>
                              <a:lvl6pPr marL="2286000" algn="l" defTabSz="914400" rtl="0" eaLnBrk="1" latinLnBrk="0" hangingPunct="1">
                                <a:defRPr kern="1200">
                                  <a:solidFill>
                                    <a:schemeClr val="tx1"/>
                                  </a:solidFill>
                                  <a:latin typeface="Arial" panose="020B0604020202020204" pitchFamily="34" charset="0"/>
                                  <a:ea typeface="宋体" panose="02010600030101010101" charset="-122"/>
                                  <a:cs typeface="+mn-cs"/>
                                </a:defRPr>
                              </a:lvl6pPr>
                              <a:lvl7pPr marL="2743200" algn="l" defTabSz="914400" rtl="0" eaLnBrk="1" latinLnBrk="0" hangingPunct="1">
                                <a:defRPr kern="1200">
                                  <a:solidFill>
                                    <a:schemeClr val="tx1"/>
                                  </a:solidFill>
                                  <a:latin typeface="Arial" panose="020B0604020202020204" pitchFamily="34" charset="0"/>
                                  <a:ea typeface="宋体" panose="02010600030101010101" charset="-122"/>
                                  <a:cs typeface="+mn-cs"/>
                                </a:defRPr>
                              </a:lvl7pPr>
                              <a:lvl8pPr marL="3200400" algn="l" defTabSz="914400" rtl="0" eaLnBrk="1" latinLnBrk="0" hangingPunct="1">
                                <a:defRPr kern="1200">
                                  <a:solidFill>
                                    <a:schemeClr val="tx1"/>
                                  </a:solidFill>
                                  <a:latin typeface="Arial" panose="020B0604020202020204" pitchFamily="34" charset="0"/>
                                  <a:ea typeface="宋体" panose="02010600030101010101" charset="-122"/>
                                  <a:cs typeface="+mn-cs"/>
                                </a:defRPr>
                              </a:lvl8pPr>
                              <a:lvl9pPr marL="3657600" algn="l" defTabSz="914400" rtl="0" eaLnBrk="1" latinLnBrk="0" hangingPunct="1">
                                <a:defRPr kern="1200">
                                  <a:solidFill>
                                    <a:schemeClr val="tx1"/>
                                  </a:solidFill>
                                  <a:latin typeface="Arial" panose="020B0604020202020204" pitchFamily="34" charset="0"/>
                                  <a:ea typeface="宋体" panose="02010600030101010101" charset="-122"/>
                                  <a:cs typeface="+mn-cs"/>
                                </a:defRPr>
                              </a:lvl9pPr>
                            </a:lstStyle>
                            <a:p>
                              <a:endParaRPr lang="zh-CN" altLang="en-US" sz="2400">
                                <a:latin typeface="微软雅黑" panose="020B0503020204020204" pitchFamily="34" charset="-122"/>
                                <a:ea typeface="微软雅黑" panose="020B0503020204020204" pitchFamily="34" charset="-122"/>
                              </a:endParaRPr>
                            </a:p>
                          </a:txBody>
                          <a:useSpRect/>
                        </a:txSp>
                      </a:sp>
                      <a:sp>
                        <a:nvSpPr>
                          <a:cNvPr id="22" name="Text Box 19"/>
                          <a:cNvSpPr txBox="1">
                            <a:spLocks noChangeArrowheads="1"/>
                          </a:cNvSpPr>
                        </a:nvSpPr>
                        <a:spPr bwMode="auto">
                          <a:xfrm>
                            <a:off x="46" y="23"/>
                            <a:ext cx="272" cy="291"/>
                          </a:xfrm>
                          <a:prstGeom prst="rect">
                            <a:avLst/>
                          </a:prstGeom>
                          <a:noFill/>
                          <a:ln w="9525">
                            <a:noFill/>
                            <a:miter lim="800000"/>
                          </a:ln>
                          <a:effectLst/>
                        </a:spPr>
                        <a:txSp>
                          <a:txBody>
                            <a:bodyPr>
                              <a:spAutoFit/>
                            </a:bodyPr>
                            <a:lstStyle>
                              <a:defPPr>
                                <a:defRPr lang="zh-CN"/>
                              </a:defPPr>
                              <a:lvl1pPr algn="l" rtl="0" eaLnBrk="0" fontAlgn="base" hangingPunct="0">
                                <a:spcBef>
                                  <a:spcPct val="0"/>
                                </a:spcBef>
                                <a:spcAft>
                                  <a:spcPct val="0"/>
                                </a:spcAft>
                                <a:defRPr kern="1200">
                                  <a:solidFill>
                                    <a:schemeClr val="tx1"/>
                                  </a:solidFill>
                                  <a:latin typeface="Arial" panose="020B0604020202020204" pitchFamily="34" charset="0"/>
                                  <a:ea typeface="宋体" panose="02010600030101010101" charset="-122"/>
                                  <a:cs typeface="+mn-cs"/>
                                </a:defRPr>
                              </a:lvl1pPr>
                              <a:lvl2pPr marL="457200" algn="l" rtl="0" eaLnBrk="0" fontAlgn="base" hangingPunct="0">
                                <a:spcBef>
                                  <a:spcPct val="0"/>
                                </a:spcBef>
                                <a:spcAft>
                                  <a:spcPct val="0"/>
                                </a:spcAft>
                                <a:defRPr kern="1200">
                                  <a:solidFill>
                                    <a:schemeClr val="tx1"/>
                                  </a:solidFill>
                                  <a:latin typeface="Arial" panose="020B0604020202020204" pitchFamily="34" charset="0"/>
                                  <a:ea typeface="宋体" panose="02010600030101010101" charset="-122"/>
                                  <a:cs typeface="+mn-cs"/>
                                </a:defRPr>
                              </a:lvl2pPr>
                              <a:lvl3pPr marL="914400" algn="l" rtl="0" eaLnBrk="0" fontAlgn="base" hangingPunct="0">
                                <a:spcBef>
                                  <a:spcPct val="0"/>
                                </a:spcBef>
                                <a:spcAft>
                                  <a:spcPct val="0"/>
                                </a:spcAft>
                                <a:defRPr kern="1200">
                                  <a:solidFill>
                                    <a:schemeClr val="tx1"/>
                                  </a:solidFill>
                                  <a:latin typeface="Arial" panose="020B0604020202020204" pitchFamily="34" charset="0"/>
                                  <a:ea typeface="宋体" panose="02010600030101010101" charset="-122"/>
                                  <a:cs typeface="+mn-cs"/>
                                </a:defRPr>
                              </a:lvl3pPr>
                              <a:lvl4pPr marL="1371600" algn="l" rtl="0" eaLnBrk="0" fontAlgn="base" hangingPunct="0">
                                <a:spcBef>
                                  <a:spcPct val="0"/>
                                </a:spcBef>
                                <a:spcAft>
                                  <a:spcPct val="0"/>
                                </a:spcAft>
                                <a:defRPr kern="1200">
                                  <a:solidFill>
                                    <a:schemeClr val="tx1"/>
                                  </a:solidFill>
                                  <a:latin typeface="Arial" panose="020B0604020202020204" pitchFamily="34" charset="0"/>
                                  <a:ea typeface="宋体" panose="02010600030101010101" charset="-122"/>
                                  <a:cs typeface="+mn-cs"/>
                                </a:defRPr>
                              </a:lvl4pPr>
                              <a:lvl5pPr marL="1828800" algn="l" rtl="0" eaLnBrk="0" fontAlgn="base" hangingPunct="0">
                                <a:spcBef>
                                  <a:spcPct val="0"/>
                                </a:spcBef>
                                <a:spcAft>
                                  <a:spcPct val="0"/>
                                </a:spcAft>
                                <a:defRPr kern="1200">
                                  <a:solidFill>
                                    <a:schemeClr val="tx1"/>
                                  </a:solidFill>
                                  <a:latin typeface="Arial" panose="020B0604020202020204" pitchFamily="34" charset="0"/>
                                  <a:ea typeface="宋体" panose="02010600030101010101" charset="-122"/>
                                  <a:cs typeface="+mn-cs"/>
                                </a:defRPr>
                              </a:lvl5pPr>
                              <a:lvl6pPr marL="2286000" algn="l" defTabSz="914400" rtl="0" eaLnBrk="1" latinLnBrk="0" hangingPunct="1">
                                <a:defRPr kern="1200">
                                  <a:solidFill>
                                    <a:schemeClr val="tx1"/>
                                  </a:solidFill>
                                  <a:latin typeface="Arial" panose="020B0604020202020204" pitchFamily="34" charset="0"/>
                                  <a:ea typeface="宋体" panose="02010600030101010101" charset="-122"/>
                                  <a:cs typeface="+mn-cs"/>
                                </a:defRPr>
                              </a:lvl6pPr>
                              <a:lvl7pPr marL="2743200" algn="l" defTabSz="914400" rtl="0" eaLnBrk="1" latinLnBrk="0" hangingPunct="1">
                                <a:defRPr kern="1200">
                                  <a:solidFill>
                                    <a:schemeClr val="tx1"/>
                                  </a:solidFill>
                                  <a:latin typeface="Arial" panose="020B0604020202020204" pitchFamily="34" charset="0"/>
                                  <a:ea typeface="宋体" panose="02010600030101010101" charset="-122"/>
                                  <a:cs typeface="+mn-cs"/>
                                </a:defRPr>
                              </a:lvl7pPr>
                              <a:lvl8pPr marL="3200400" algn="l" defTabSz="914400" rtl="0" eaLnBrk="1" latinLnBrk="0" hangingPunct="1">
                                <a:defRPr kern="1200">
                                  <a:solidFill>
                                    <a:schemeClr val="tx1"/>
                                  </a:solidFill>
                                  <a:latin typeface="Arial" panose="020B0604020202020204" pitchFamily="34" charset="0"/>
                                  <a:ea typeface="宋体" panose="02010600030101010101" charset="-122"/>
                                  <a:cs typeface="+mn-cs"/>
                                </a:defRPr>
                              </a:lvl8pPr>
                              <a:lvl9pPr marL="3657600" algn="l" defTabSz="914400" rtl="0" eaLnBrk="1" latinLnBrk="0" hangingPunct="1">
                                <a:defRPr kern="1200">
                                  <a:solidFill>
                                    <a:schemeClr val="tx1"/>
                                  </a:solidFill>
                                  <a:latin typeface="Arial" panose="020B0604020202020204" pitchFamily="34" charset="0"/>
                                  <a:ea typeface="宋体" panose="02010600030101010101" charset="-122"/>
                                  <a:cs typeface="+mn-cs"/>
                                </a:defRPr>
                              </a:lvl9pPr>
                            </a:lstStyle>
                            <a:p>
                              <a:pPr>
                                <a:spcBef>
                                  <a:spcPct val="50000"/>
                                </a:spcBef>
                              </a:pPr>
                              <a:r>
                                <a:rPr lang="en-US" sz="2400">
                                  <a:latin typeface="微软雅黑" panose="020B0503020204020204" pitchFamily="34" charset="-122"/>
                                  <a:ea typeface="微软雅黑" panose="020B0503020204020204" pitchFamily="34" charset="-122"/>
                                </a:rPr>
                                <a:t>A</a:t>
                              </a:r>
                              <a:endParaRPr lang="en-US" sz="2400">
                                <a:latin typeface="微软雅黑" panose="020B0503020204020204" pitchFamily="34" charset="-122"/>
                                <a:ea typeface="微软雅黑" panose="020B0503020204020204" pitchFamily="34" charset="-122"/>
                              </a:endParaRPr>
                            </a:p>
                          </a:txBody>
                          <a:useSpRect/>
                        </a:txSp>
                      </a:sp>
                    </a:grpSp>
                    <a:sp>
                      <a:nvSpPr>
                        <a:cNvPr id="19" name="Text Box 20"/>
                        <a:cNvSpPr txBox="1">
                          <a:spLocks noChangeArrowheads="1"/>
                        </a:cNvSpPr>
                      </a:nvSpPr>
                      <a:spPr bwMode="auto">
                        <a:xfrm>
                          <a:off x="46" y="0"/>
                          <a:ext cx="272" cy="291"/>
                        </a:xfrm>
                        <a:prstGeom prst="rect">
                          <a:avLst/>
                        </a:prstGeom>
                        <a:noFill/>
                        <a:ln w="9525">
                          <a:noFill/>
                          <a:miter lim="800000"/>
                        </a:ln>
                        <a:effectLst/>
                      </a:spPr>
                      <a:txSp>
                        <a:txBody>
                          <a:bodyPr>
                            <a:spAutoFit/>
                          </a:bodyPr>
                          <a:lstStyle>
                            <a:defPPr>
                              <a:defRPr lang="zh-CN"/>
                            </a:defPPr>
                            <a:lvl1pPr algn="l" rtl="0" eaLnBrk="0" fontAlgn="base" hangingPunct="0">
                              <a:spcBef>
                                <a:spcPct val="0"/>
                              </a:spcBef>
                              <a:spcAft>
                                <a:spcPct val="0"/>
                              </a:spcAft>
                              <a:defRPr kern="1200">
                                <a:solidFill>
                                  <a:schemeClr val="tx1"/>
                                </a:solidFill>
                                <a:latin typeface="Arial" panose="020B0604020202020204" pitchFamily="34" charset="0"/>
                                <a:ea typeface="宋体" panose="02010600030101010101" charset="-122"/>
                                <a:cs typeface="+mn-cs"/>
                              </a:defRPr>
                            </a:lvl1pPr>
                            <a:lvl2pPr marL="457200" algn="l" rtl="0" eaLnBrk="0" fontAlgn="base" hangingPunct="0">
                              <a:spcBef>
                                <a:spcPct val="0"/>
                              </a:spcBef>
                              <a:spcAft>
                                <a:spcPct val="0"/>
                              </a:spcAft>
                              <a:defRPr kern="1200">
                                <a:solidFill>
                                  <a:schemeClr val="tx1"/>
                                </a:solidFill>
                                <a:latin typeface="Arial" panose="020B0604020202020204" pitchFamily="34" charset="0"/>
                                <a:ea typeface="宋体" panose="02010600030101010101" charset="-122"/>
                                <a:cs typeface="+mn-cs"/>
                              </a:defRPr>
                            </a:lvl2pPr>
                            <a:lvl3pPr marL="914400" algn="l" rtl="0" eaLnBrk="0" fontAlgn="base" hangingPunct="0">
                              <a:spcBef>
                                <a:spcPct val="0"/>
                              </a:spcBef>
                              <a:spcAft>
                                <a:spcPct val="0"/>
                              </a:spcAft>
                              <a:defRPr kern="1200">
                                <a:solidFill>
                                  <a:schemeClr val="tx1"/>
                                </a:solidFill>
                                <a:latin typeface="Arial" panose="020B0604020202020204" pitchFamily="34" charset="0"/>
                                <a:ea typeface="宋体" panose="02010600030101010101" charset="-122"/>
                                <a:cs typeface="+mn-cs"/>
                              </a:defRPr>
                            </a:lvl3pPr>
                            <a:lvl4pPr marL="1371600" algn="l" rtl="0" eaLnBrk="0" fontAlgn="base" hangingPunct="0">
                              <a:spcBef>
                                <a:spcPct val="0"/>
                              </a:spcBef>
                              <a:spcAft>
                                <a:spcPct val="0"/>
                              </a:spcAft>
                              <a:defRPr kern="1200">
                                <a:solidFill>
                                  <a:schemeClr val="tx1"/>
                                </a:solidFill>
                                <a:latin typeface="Arial" panose="020B0604020202020204" pitchFamily="34" charset="0"/>
                                <a:ea typeface="宋体" panose="02010600030101010101" charset="-122"/>
                                <a:cs typeface="+mn-cs"/>
                              </a:defRPr>
                            </a:lvl4pPr>
                            <a:lvl5pPr marL="1828800" algn="l" rtl="0" eaLnBrk="0" fontAlgn="base" hangingPunct="0">
                              <a:spcBef>
                                <a:spcPct val="0"/>
                              </a:spcBef>
                              <a:spcAft>
                                <a:spcPct val="0"/>
                              </a:spcAft>
                              <a:defRPr kern="1200">
                                <a:solidFill>
                                  <a:schemeClr val="tx1"/>
                                </a:solidFill>
                                <a:latin typeface="Arial" panose="020B0604020202020204" pitchFamily="34" charset="0"/>
                                <a:ea typeface="宋体" panose="02010600030101010101" charset="-122"/>
                                <a:cs typeface="+mn-cs"/>
                              </a:defRPr>
                            </a:lvl5pPr>
                            <a:lvl6pPr marL="2286000" algn="l" defTabSz="914400" rtl="0" eaLnBrk="1" latinLnBrk="0" hangingPunct="1">
                              <a:defRPr kern="1200">
                                <a:solidFill>
                                  <a:schemeClr val="tx1"/>
                                </a:solidFill>
                                <a:latin typeface="Arial" panose="020B0604020202020204" pitchFamily="34" charset="0"/>
                                <a:ea typeface="宋体" panose="02010600030101010101" charset="-122"/>
                                <a:cs typeface="+mn-cs"/>
                              </a:defRPr>
                            </a:lvl6pPr>
                            <a:lvl7pPr marL="2743200" algn="l" defTabSz="914400" rtl="0" eaLnBrk="1" latinLnBrk="0" hangingPunct="1">
                              <a:defRPr kern="1200">
                                <a:solidFill>
                                  <a:schemeClr val="tx1"/>
                                </a:solidFill>
                                <a:latin typeface="Arial" panose="020B0604020202020204" pitchFamily="34" charset="0"/>
                                <a:ea typeface="宋体" panose="02010600030101010101" charset="-122"/>
                                <a:cs typeface="+mn-cs"/>
                              </a:defRPr>
                            </a:lvl7pPr>
                            <a:lvl8pPr marL="3200400" algn="l" defTabSz="914400" rtl="0" eaLnBrk="1" latinLnBrk="0" hangingPunct="1">
                              <a:defRPr kern="1200">
                                <a:solidFill>
                                  <a:schemeClr val="tx1"/>
                                </a:solidFill>
                                <a:latin typeface="Arial" panose="020B0604020202020204" pitchFamily="34" charset="0"/>
                                <a:ea typeface="宋体" panose="02010600030101010101" charset="-122"/>
                                <a:cs typeface="+mn-cs"/>
                              </a:defRPr>
                            </a:lvl8pPr>
                            <a:lvl9pPr marL="3657600" algn="l" defTabSz="914400" rtl="0" eaLnBrk="1" latinLnBrk="0" hangingPunct="1">
                              <a:defRPr kern="1200">
                                <a:solidFill>
                                  <a:schemeClr val="tx1"/>
                                </a:solidFill>
                                <a:latin typeface="Arial" panose="020B0604020202020204" pitchFamily="34" charset="0"/>
                                <a:ea typeface="宋体" panose="02010600030101010101" charset="-122"/>
                                <a:cs typeface="+mn-cs"/>
                              </a:defRPr>
                            </a:lvl9pPr>
                          </a:lstStyle>
                          <a:p>
                            <a:pPr>
                              <a:spcBef>
                                <a:spcPct val="50000"/>
                              </a:spcBef>
                            </a:pPr>
                            <a:r>
                              <a:rPr lang="en-US" sz="2400" dirty="0">
                                <a:latin typeface="微软雅黑" panose="020B0503020204020204" pitchFamily="34" charset="-122"/>
                                <a:ea typeface="微软雅黑" panose="020B0503020204020204" pitchFamily="34" charset="-122"/>
                              </a:rPr>
                              <a:t>+</a:t>
                            </a:r>
                            <a:endParaRPr lang="en-US" sz="2400" dirty="0">
                              <a:latin typeface="微软雅黑" panose="020B0503020204020204" pitchFamily="34" charset="-122"/>
                              <a:ea typeface="微软雅黑" panose="020B0503020204020204" pitchFamily="34" charset="-122"/>
                            </a:endParaRPr>
                          </a:p>
                        </a:txBody>
                        <a:useSpRect/>
                      </a:txSp>
                    </a:sp>
                    <a:sp>
                      <a:nvSpPr>
                        <a:cNvPr id="20" name="Text Box 21"/>
                        <a:cNvSpPr txBox="1">
                          <a:spLocks noChangeArrowheads="1"/>
                        </a:cNvSpPr>
                      </a:nvSpPr>
                      <a:spPr bwMode="auto">
                        <a:xfrm>
                          <a:off x="681" y="0"/>
                          <a:ext cx="272" cy="288"/>
                        </a:xfrm>
                        <a:prstGeom prst="rect">
                          <a:avLst/>
                        </a:prstGeom>
                        <a:noFill/>
                        <a:ln w="9525">
                          <a:noFill/>
                          <a:miter lim="800000"/>
                        </a:ln>
                        <a:effectLst/>
                      </a:spPr>
                      <a:txSp>
                        <a:txBody>
                          <a:bodyPr>
                            <a:spAutoFit/>
                          </a:bodyPr>
                          <a:lstStyle>
                            <a:defPPr>
                              <a:defRPr lang="zh-CN"/>
                            </a:defPPr>
                            <a:lvl1pPr algn="l" rtl="0" eaLnBrk="0" fontAlgn="base" hangingPunct="0">
                              <a:spcBef>
                                <a:spcPct val="0"/>
                              </a:spcBef>
                              <a:spcAft>
                                <a:spcPct val="0"/>
                              </a:spcAft>
                              <a:defRPr kern="1200">
                                <a:solidFill>
                                  <a:schemeClr val="tx1"/>
                                </a:solidFill>
                                <a:latin typeface="Arial" panose="020B0604020202020204" pitchFamily="34" charset="0"/>
                                <a:ea typeface="宋体" panose="02010600030101010101" charset="-122"/>
                                <a:cs typeface="+mn-cs"/>
                              </a:defRPr>
                            </a:lvl1pPr>
                            <a:lvl2pPr marL="457200" algn="l" rtl="0" eaLnBrk="0" fontAlgn="base" hangingPunct="0">
                              <a:spcBef>
                                <a:spcPct val="0"/>
                              </a:spcBef>
                              <a:spcAft>
                                <a:spcPct val="0"/>
                              </a:spcAft>
                              <a:defRPr kern="1200">
                                <a:solidFill>
                                  <a:schemeClr val="tx1"/>
                                </a:solidFill>
                                <a:latin typeface="Arial" panose="020B0604020202020204" pitchFamily="34" charset="0"/>
                                <a:ea typeface="宋体" panose="02010600030101010101" charset="-122"/>
                                <a:cs typeface="+mn-cs"/>
                              </a:defRPr>
                            </a:lvl2pPr>
                            <a:lvl3pPr marL="914400" algn="l" rtl="0" eaLnBrk="0" fontAlgn="base" hangingPunct="0">
                              <a:spcBef>
                                <a:spcPct val="0"/>
                              </a:spcBef>
                              <a:spcAft>
                                <a:spcPct val="0"/>
                              </a:spcAft>
                              <a:defRPr kern="1200">
                                <a:solidFill>
                                  <a:schemeClr val="tx1"/>
                                </a:solidFill>
                                <a:latin typeface="Arial" panose="020B0604020202020204" pitchFamily="34" charset="0"/>
                                <a:ea typeface="宋体" panose="02010600030101010101" charset="-122"/>
                                <a:cs typeface="+mn-cs"/>
                              </a:defRPr>
                            </a:lvl3pPr>
                            <a:lvl4pPr marL="1371600" algn="l" rtl="0" eaLnBrk="0" fontAlgn="base" hangingPunct="0">
                              <a:spcBef>
                                <a:spcPct val="0"/>
                              </a:spcBef>
                              <a:spcAft>
                                <a:spcPct val="0"/>
                              </a:spcAft>
                              <a:defRPr kern="1200">
                                <a:solidFill>
                                  <a:schemeClr val="tx1"/>
                                </a:solidFill>
                                <a:latin typeface="Arial" panose="020B0604020202020204" pitchFamily="34" charset="0"/>
                                <a:ea typeface="宋体" panose="02010600030101010101" charset="-122"/>
                                <a:cs typeface="+mn-cs"/>
                              </a:defRPr>
                            </a:lvl4pPr>
                            <a:lvl5pPr marL="1828800" algn="l" rtl="0" eaLnBrk="0" fontAlgn="base" hangingPunct="0">
                              <a:spcBef>
                                <a:spcPct val="0"/>
                              </a:spcBef>
                              <a:spcAft>
                                <a:spcPct val="0"/>
                              </a:spcAft>
                              <a:defRPr kern="1200">
                                <a:solidFill>
                                  <a:schemeClr val="tx1"/>
                                </a:solidFill>
                                <a:latin typeface="Arial" panose="020B0604020202020204" pitchFamily="34" charset="0"/>
                                <a:ea typeface="宋体" panose="02010600030101010101" charset="-122"/>
                                <a:cs typeface="+mn-cs"/>
                              </a:defRPr>
                            </a:lvl5pPr>
                            <a:lvl6pPr marL="2286000" algn="l" defTabSz="914400" rtl="0" eaLnBrk="1" latinLnBrk="0" hangingPunct="1">
                              <a:defRPr kern="1200">
                                <a:solidFill>
                                  <a:schemeClr val="tx1"/>
                                </a:solidFill>
                                <a:latin typeface="Arial" panose="020B0604020202020204" pitchFamily="34" charset="0"/>
                                <a:ea typeface="宋体" panose="02010600030101010101" charset="-122"/>
                                <a:cs typeface="+mn-cs"/>
                              </a:defRPr>
                            </a:lvl6pPr>
                            <a:lvl7pPr marL="2743200" algn="l" defTabSz="914400" rtl="0" eaLnBrk="1" latinLnBrk="0" hangingPunct="1">
                              <a:defRPr kern="1200">
                                <a:solidFill>
                                  <a:schemeClr val="tx1"/>
                                </a:solidFill>
                                <a:latin typeface="Arial" panose="020B0604020202020204" pitchFamily="34" charset="0"/>
                                <a:ea typeface="宋体" panose="02010600030101010101" charset="-122"/>
                                <a:cs typeface="+mn-cs"/>
                              </a:defRPr>
                            </a:lvl7pPr>
                            <a:lvl8pPr marL="3200400" algn="l" defTabSz="914400" rtl="0" eaLnBrk="1" latinLnBrk="0" hangingPunct="1">
                              <a:defRPr kern="1200">
                                <a:solidFill>
                                  <a:schemeClr val="tx1"/>
                                </a:solidFill>
                                <a:latin typeface="Arial" panose="020B0604020202020204" pitchFamily="34" charset="0"/>
                                <a:ea typeface="宋体" panose="02010600030101010101" charset="-122"/>
                                <a:cs typeface="+mn-cs"/>
                              </a:defRPr>
                            </a:lvl8pPr>
                            <a:lvl9pPr marL="3657600" algn="l" defTabSz="914400" rtl="0" eaLnBrk="1" latinLnBrk="0" hangingPunct="1">
                              <a:defRPr kern="1200">
                                <a:solidFill>
                                  <a:schemeClr val="tx1"/>
                                </a:solidFill>
                                <a:latin typeface="Arial" panose="020B0604020202020204" pitchFamily="34" charset="0"/>
                                <a:ea typeface="宋体" panose="02010600030101010101" charset="-122"/>
                                <a:cs typeface="+mn-cs"/>
                              </a:defRPr>
                            </a:lvl9pPr>
                          </a:lstStyle>
                          <a:p>
                            <a:pPr>
                              <a:spcBef>
                                <a:spcPct val="50000"/>
                              </a:spcBef>
                            </a:pPr>
                            <a:r>
                              <a:rPr lang="zh-CN" altLang="en-US" sz="2400">
                                <a:latin typeface="微软雅黑" panose="020B0503020204020204" pitchFamily="34" charset="-122"/>
                                <a:ea typeface="微软雅黑" panose="020B0503020204020204" pitchFamily="34" charset="-122"/>
                              </a:rPr>
                              <a:t>－</a:t>
                            </a:r>
                            <a:endParaRPr lang="en-US" sz="2400">
                              <a:latin typeface="微软雅黑" panose="020B0503020204020204" pitchFamily="34" charset="-122"/>
                              <a:ea typeface="微软雅黑" panose="020B0503020204020204" pitchFamily="34" charset="-122"/>
                            </a:endParaRPr>
                          </a:p>
                        </a:txBody>
                        <a:useSpRect/>
                      </a:txSp>
                    </a:sp>
                  </a:grpSp>
                </lc:lockedCanvas>
              </a:graphicData>
            </a:graphic>
          </wp:inline>
        </w:drawing>
      </w:r>
    </w:p>
    <w:p w:rsidR="003C7398" w:rsidRDefault="003B25EF" w:rsidP="00726D57">
      <w:pPr>
        <w:spacing w:line="360" w:lineRule="auto"/>
        <w:ind w:firstLineChars="200" w:firstLine="480"/>
        <w:rPr>
          <w:rFonts w:ascii="宋体" w:hAnsi="宋体"/>
          <w:sz w:val="24"/>
        </w:rPr>
      </w:pPr>
      <w:r>
        <w:rPr>
          <w:rFonts w:ascii="宋体" w:hAnsi="宋体" w:hint="eastAsia"/>
          <w:sz w:val="24"/>
        </w:rPr>
        <w:t>2.电流表的连接</w:t>
      </w:r>
    </w:p>
    <w:p w:rsidR="003C7398" w:rsidRDefault="003B25EF" w:rsidP="00726D57">
      <w:pPr>
        <w:spacing w:line="360" w:lineRule="auto"/>
        <w:ind w:firstLineChars="200" w:firstLine="480"/>
        <w:rPr>
          <w:rFonts w:ascii="宋体" w:hAnsi="宋体"/>
          <w:sz w:val="24"/>
        </w:rPr>
      </w:pPr>
      <w:r>
        <w:rPr>
          <w:rFonts w:ascii="宋体" w:hAnsi="宋体" w:hint="eastAsia"/>
          <w:sz w:val="24"/>
        </w:rPr>
        <w:t>【提问】电流表如何接入电路测电路中的电流呢？使用电流表测电流时应该注意什么？</w:t>
      </w:r>
    </w:p>
    <w:p w:rsidR="003C7398" w:rsidRDefault="003B25EF" w:rsidP="00726D57">
      <w:pPr>
        <w:spacing w:line="360" w:lineRule="auto"/>
        <w:ind w:firstLineChars="200" w:firstLine="480"/>
        <w:rPr>
          <w:rFonts w:ascii="宋体" w:hAnsi="宋体"/>
          <w:sz w:val="24"/>
        </w:rPr>
      </w:pPr>
      <w:r>
        <w:rPr>
          <w:rFonts w:ascii="宋体" w:hAnsi="宋体" w:hint="eastAsia"/>
          <w:sz w:val="24"/>
        </w:rPr>
        <w:t>【阅读】课本P46中有关内容，找出如何连接电流表的要求。</w:t>
      </w:r>
    </w:p>
    <w:p w:rsidR="003C7398" w:rsidRDefault="003B25EF" w:rsidP="00726D57">
      <w:pPr>
        <w:spacing w:line="360" w:lineRule="auto"/>
        <w:ind w:firstLineChars="200" w:firstLine="480"/>
        <w:rPr>
          <w:rFonts w:ascii="宋体" w:hAnsi="宋体"/>
          <w:sz w:val="24"/>
        </w:rPr>
      </w:pPr>
      <w:r>
        <w:rPr>
          <w:rFonts w:ascii="宋体" w:hAnsi="宋体" w:hint="eastAsia"/>
          <w:sz w:val="24"/>
        </w:rPr>
        <w:t>【小结】（1）电流表必须和被测的用电器串联。(否则会损坏电流表)</w:t>
      </w:r>
    </w:p>
    <w:p w:rsidR="003C7398" w:rsidRDefault="003B25EF" w:rsidP="00726D57">
      <w:pPr>
        <w:spacing w:line="360" w:lineRule="auto"/>
        <w:ind w:firstLineChars="200" w:firstLine="480"/>
        <w:rPr>
          <w:rFonts w:ascii="宋体" w:hAnsi="宋体"/>
          <w:sz w:val="24"/>
        </w:rPr>
      </w:pPr>
      <w:r>
        <w:rPr>
          <w:rFonts w:ascii="宋体" w:hAnsi="宋体" w:hint="eastAsia"/>
          <w:sz w:val="24"/>
        </w:rPr>
        <w:t>（2）电流从电流表的“＋”接线柱流入，从“－”接线柱流出。(否则指针会反转甚至损坏电流表)</w:t>
      </w:r>
    </w:p>
    <w:p w:rsidR="003C7398" w:rsidRDefault="003B25EF" w:rsidP="00726D57">
      <w:pPr>
        <w:spacing w:line="360" w:lineRule="auto"/>
        <w:ind w:firstLineChars="200" w:firstLine="480"/>
        <w:rPr>
          <w:rFonts w:ascii="宋体" w:hAnsi="宋体"/>
          <w:sz w:val="24"/>
        </w:rPr>
      </w:pPr>
      <w:r>
        <w:rPr>
          <w:rFonts w:ascii="宋体" w:hAnsi="宋体" w:hint="eastAsia"/>
          <w:sz w:val="24"/>
        </w:rPr>
        <w:t>（3）被测电流不要超过电流表的量程。(否则会损</w:t>
      </w:r>
      <w:r>
        <w:rPr>
          <w:rFonts w:ascii="宋体" w:hAnsi="宋体" w:hint="eastAsia"/>
          <w:noProof/>
          <w:sz w:val="24"/>
        </w:rPr>
        <w:drawing>
          <wp:inline distT="0" distB="0" distL="114300" distR="114300">
            <wp:extent cx="177800" cy="19050"/>
            <wp:effectExtent l="0" t="0" r="0" b="0"/>
            <wp:docPr id="11" name="图片 11"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学科网(www.zxxk.com)--教育资源门户，提供试卷、教案、课件、论文、素材及各类教学资源下载，还有大量而丰富的教学相关资讯！"/>
                    <pic:cNvPicPr>
                      <a:picLocks noChangeAspect="1"/>
                    </pic:cNvPicPr>
                  </pic:nvPicPr>
                  <pic:blipFill>
                    <a:blip r:embed="rId10"/>
                    <a:stretch>
                      <a:fillRect/>
                    </a:stretch>
                  </pic:blipFill>
                  <pic:spPr>
                    <a:xfrm>
                      <a:off x="0" y="0"/>
                      <a:ext cx="177800" cy="19050"/>
                    </a:xfrm>
                    <a:prstGeom prst="rect">
                      <a:avLst/>
                    </a:prstGeom>
                  </pic:spPr>
                </pic:pic>
              </a:graphicData>
            </a:graphic>
          </wp:inline>
        </w:drawing>
      </w:r>
      <w:r>
        <w:rPr>
          <w:rFonts w:ascii="宋体" w:hAnsi="宋体" w:hint="eastAsia"/>
          <w:sz w:val="24"/>
        </w:rPr>
        <w:t>坏电流表，试触法介绍)</w:t>
      </w:r>
    </w:p>
    <w:p w:rsidR="003C7398" w:rsidRDefault="003B25EF" w:rsidP="00726D57">
      <w:pPr>
        <w:spacing w:line="360" w:lineRule="auto"/>
        <w:ind w:firstLineChars="200" w:firstLine="480"/>
        <w:rPr>
          <w:rFonts w:ascii="宋体" w:hAnsi="宋体"/>
          <w:sz w:val="24"/>
        </w:rPr>
      </w:pPr>
      <w:r>
        <w:rPr>
          <w:rFonts w:ascii="宋体" w:hAnsi="宋体" w:hint="eastAsia"/>
          <w:sz w:val="24"/>
        </w:rPr>
        <w:t>（4）任何情况下都不允许使电流表直接连到电源的两极上。(否则会造成电源短路)</w:t>
      </w:r>
    </w:p>
    <w:p w:rsidR="003C7398" w:rsidRDefault="003B25EF" w:rsidP="00726D57">
      <w:pPr>
        <w:spacing w:line="360" w:lineRule="auto"/>
        <w:ind w:firstLineChars="200" w:firstLine="480"/>
        <w:rPr>
          <w:rFonts w:ascii="宋体" w:hAnsi="宋体"/>
          <w:sz w:val="24"/>
        </w:rPr>
      </w:pPr>
      <w:r>
        <w:rPr>
          <w:rFonts w:ascii="宋体" w:hAnsi="宋体" w:hint="eastAsia"/>
          <w:sz w:val="24"/>
        </w:rPr>
        <w:t>【练一练】题目内容见课件</w:t>
      </w:r>
    </w:p>
    <w:p w:rsidR="003C7398" w:rsidRDefault="003B25EF" w:rsidP="00726D57">
      <w:pPr>
        <w:spacing w:line="360" w:lineRule="auto"/>
        <w:ind w:firstLineChars="200" w:firstLine="480"/>
        <w:rPr>
          <w:rFonts w:ascii="宋体" w:hAnsi="宋体"/>
          <w:sz w:val="24"/>
        </w:rPr>
      </w:pPr>
      <w:r>
        <w:rPr>
          <w:rFonts w:ascii="宋体" w:hAnsi="宋体" w:hint="eastAsia"/>
          <w:sz w:val="24"/>
        </w:rPr>
        <w:t>3.电流表的读数</w:t>
      </w:r>
    </w:p>
    <w:p w:rsidR="003C7398" w:rsidRDefault="003B25EF" w:rsidP="00726D57">
      <w:pPr>
        <w:spacing w:line="360" w:lineRule="auto"/>
        <w:ind w:firstLineChars="200" w:firstLine="480"/>
        <w:rPr>
          <w:rFonts w:ascii="宋体" w:hAnsi="宋体"/>
          <w:sz w:val="24"/>
        </w:rPr>
      </w:pPr>
      <w:r>
        <w:rPr>
          <w:rFonts w:ascii="宋体" w:hAnsi="宋体" w:hint="eastAsia"/>
          <w:sz w:val="24"/>
        </w:rPr>
        <w:t>【提问】电流表不同的接线柱对应刻度盘上不同的量程，那么，怎样在电流表上读数</w:t>
      </w:r>
      <w:r>
        <w:rPr>
          <w:rFonts w:ascii="宋体" w:hAnsi="宋体" w:hint="eastAsia"/>
          <w:noProof/>
          <w:sz w:val="24"/>
        </w:rPr>
        <w:drawing>
          <wp:inline distT="0" distB="0" distL="114300" distR="114300">
            <wp:extent cx="111760" cy="13970"/>
            <wp:effectExtent l="0" t="0" r="0" b="0"/>
            <wp:docPr id="13" name="图片 13"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学科网(www.zxxk.com)--教育资源门户，提供试卷、教案、课件、论文、素材及各类教学资源下载，还有大量而丰富的教学相关资讯！"/>
                    <pic:cNvPicPr>
                      <a:picLocks noChangeAspect="1"/>
                    </pic:cNvPicPr>
                  </pic:nvPicPr>
                  <pic:blipFill>
                    <a:blip r:embed="rId10"/>
                    <a:stretch>
                      <a:fillRect/>
                    </a:stretch>
                  </pic:blipFill>
                  <pic:spPr>
                    <a:xfrm>
                      <a:off x="0" y="0"/>
                      <a:ext cx="111760" cy="13970"/>
                    </a:xfrm>
                    <a:prstGeom prst="rect">
                      <a:avLst/>
                    </a:prstGeom>
                  </pic:spPr>
                </pic:pic>
              </a:graphicData>
            </a:graphic>
          </wp:inline>
        </w:drawing>
      </w:r>
      <w:r>
        <w:rPr>
          <w:rFonts w:ascii="宋体" w:hAnsi="宋体" w:hint="eastAsia"/>
          <w:sz w:val="24"/>
        </w:rPr>
        <w:t>呢？</w:t>
      </w:r>
    </w:p>
    <w:p w:rsidR="003C7398" w:rsidRDefault="003B25EF" w:rsidP="00726D57">
      <w:pPr>
        <w:spacing w:line="360" w:lineRule="auto"/>
        <w:ind w:firstLineChars="200" w:firstLine="480"/>
        <w:rPr>
          <w:rFonts w:ascii="宋体" w:hAnsi="宋体"/>
          <w:sz w:val="24"/>
        </w:rPr>
      </w:pPr>
      <w:r>
        <w:rPr>
          <w:rFonts w:ascii="宋体" w:hAnsi="宋体" w:hint="eastAsia"/>
          <w:sz w:val="24"/>
        </w:rPr>
        <w:t>【阅读】学生阅读课本P46“电流表的读数”部分内容</w:t>
      </w:r>
    </w:p>
    <w:p w:rsidR="003C7398" w:rsidRDefault="003B25EF" w:rsidP="00726D57">
      <w:pPr>
        <w:spacing w:line="360" w:lineRule="auto"/>
        <w:ind w:firstLineChars="200" w:firstLine="480"/>
        <w:rPr>
          <w:rFonts w:ascii="宋体" w:hAnsi="宋体"/>
          <w:sz w:val="24"/>
        </w:rPr>
      </w:pPr>
      <w:r>
        <w:rPr>
          <w:rFonts w:ascii="宋体" w:hAnsi="宋体" w:hint="eastAsia"/>
          <w:sz w:val="24"/>
        </w:rPr>
        <w:t>【小结】电流表的读数方法：(1)根据接线柱确定使用的量程；(2)根据使用的量程确定分度值；(3)接通电路后根据表针的位置确定电流表的读数。</w:t>
      </w:r>
    </w:p>
    <w:p w:rsidR="003C7398" w:rsidRDefault="003B25EF" w:rsidP="00726D57">
      <w:pPr>
        <w:spacing w:line="360" w:lineRule="auto"/>
        <w:ind w:firstLineChars="200" w:firstLine="480"/>
        <w:rPr>
          <w:rFonts w:ascii="宋体" w:hAnsi="宋体"/>
          <w:sz w:val="24"/>
        </w:rPr>
      </w:pPr>
      <w:r>
        <w:rPr>
          <w:rFonts w:ascii="宋体" w:hAnsi="宋体" w:hint="eastAsia"/>
          <w:sz w:val="24"/>
        </w:rPr>
        <w:t>【练一练】见课件上习题。</w:t>
      </w:r>
    </w:p>
    <w:p w:rsidR="003C7398" w:rsidRDefault="003B25EF" w:rsidP="00726D57">
      <w:pPr>
        <w:spacing w:line="360" w:lineRule="auto"/>
        <w:ind w:firstLineChars="200" w:firstLine="480"/>
        <w:rPr>
          <w:rFonts w:ascii="宋体" w:hAnsi="宋体"/>
          <w:sz w:val="24"/>
        </w:rPr>
      </w:pPr>
      <w:r>
        <w:rPr>
          <w:rFonts w:ascii="宋体" w:hAnsi="宋体" w:hint="eastAsia"/>
          <w:sz w:val="24"/>
        </w:rPr>
        <w:t>4.用电流表测量电路中的电流</w:t>
      </w:r>
    </w:p>
    <w:p w:rsidR="003C7398" w:rsidRDefault="003B25EF" w:rsidP="00726D57">
      <w:pPr>
        <w:spacing w:line="360" w:lineRule="auto"/>
        <w:ind w:firstLineChars="200" w:firstLine="480"/>
        <w:rPr>
          <w:rFonts w:ascii="宋体" w:hAnsi="宋体"/>
          <w:sz w:val="24"/>
        </w:rPr>
      </w:pPr>
      <w:r>
        <w:rPr>
          <w:rFonts w:ascii="宋体" w:hAnsi="宋体" w:hint="eastAsia"/>
          <w:sz w:val="24"/>
        </w:rPr>
        <w:lastRenderedPageBreak/>
        <w:t>【演示实验】教师示范电流表的使用并再一次强调电流表的使用过程中应注意的问题，同时按如图演示实物的连接。</w:t>
      </w:r>
    </w:p>
    <w:p w:rsidR="003C7398" w:rsidRDefault="003B25EF" w:rsidP="00726D57">
      <w:pPr>
        <w:spacing w:line="360" w:lineRule="auto"/>
        <w:ind w:firstLineChars="200" w:firstLine="480"/>
        <w:rPr>
          <w:rFonts w:ascii="宋体" w:hAnsi="宋体"/>
          <w:sz w:val="24"/>
          <w:lang w:val="de-DE"/>
        </w:rPr>
      </w:pPr>
      <w:r>
        <w:rPr>
          <w:rFonts w:ascii="宋体" w:hAnsi="宋体" w:hint="eastAsia"/>
          <w:noProof/>
          <w:sz w:val="24"/>
        </w:rPr>
        <w:drawing>
          <wp:inline distT="0" distB="0" distL="0" distR="0">
            <wp:extent cx="1228725" cy="1028700"/>
            <wp:effectExtent l="19050" t="0" r="9525" b="0"/>
            <wp:docPr id="29" name="图片 226"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26" descr="学科网(www.zxxk.com)--教育资源门户，提供试卷、教案、课件、论文、素材及各类教学资源下载，还有大量而丰富的教学相关资讯！"/>
                    <pic:cNvPicPr>
                      <a:picLocks noChangeAspect="1" noChangeArrowheads="1"/>
                    </pic:cNvPicPr>
                  </pic:nvPicPr>
                  <pic:blipFill>
                    <a:blip r:embed="rId12" cstate="print"/>
                    <a:srcRect/>
                    <a:stretch>
                      <a:fillRect/>
                    </a:stretch>
                  </pic:blipFill>
                  <pic:spPr>
                    <a:xfrm>
                      <a:off x="0" y="0"/>
                      <a:ext cx="1228725" cy="1028700"/>
                    </a:xfrm>
                    <a:prstGeom prst="rect">
                      <a:avLst/>
                    </a:prstGeom>
                    <a:noFill/>
                    <a:ln w="9525">
                      <a:noFill/>
                      <a:miter lim="800000"/>
                      <a:headEnd/>
                      <a:tailEnd/>
                    </a:ln>
                  </pic:spPr>
                </pic:pic>
              </a:graphicData>
            </a:graphic>
          </wp:inline>
        </w:drawing>
      </w:r>
    </w:p>
    <w:p w:rsidR="003C7398" w:rsidRDefault="003B25EF" w:rsidP="00726D57">
      <w:pPr>
        <w:spacing w:line="360" w:lineRule="auto"/>
        <w:ind w:firstLineChars="200" w:firstLine="480"/>
        <w:rPr>
          <w:rFonts w:ascii="宋体" w:hAnsi="宋体"/>
          <w:sz w:val="24"/>
        </w:rPr>
      </w:pPr>
      <w:r>
        <w:rPr>
          <w:rFonts w:ascii="宋体" w:hAnsi="宋体" w:hint="eastAsia"/>
          <w:sz w:val="24"/>
        </w:rPr>
        <w:t>【学生实验】按照如图所示的电路图连接电路，测出电路中的电流，再改变电流表在电路中的位置，比较电流表两次示数是否有变化。</w:t>
      </w:r>
    </w:p>
    <w:p w:rsidR="003C7398" w:rsidRDefault="003B25EF" w:rsidP="00726D57">
      <w:pPr>
        <w:spacing w:line="360" w:lineRule="auto"/>
        <w:ind w:firstLineChars="200" w:firstLine="480"/>
        <w:rPr>
          <w:rFonts w:ascii="宋体" w:hAnsi="宋体"/>
          <w:sz w:val="24"/>
          <w:lang w:val="de-DE"/>
        </w:rPr>
      </w:pPr>
      <w:r>
        <w:rPr>
          <w:rFonts w:ascii="宋体" w:hAnsi="宋体" w:hint="eastAsia"/>
          <w:noProof/>
          <w:sz w:val="24"/>
        </w:rPr>
        <w:drawing>
          <wp:inline distT="0" distB="0" distL="0" distR="0">
            <wp:extent cx="2114550" cy="946150"/>
            <wp:effectExtent l="19050" t="0" r="0" b="0"/>
            <wp:docPr id="74" name="图片 74"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图片 74" descr="学科网(www.zxxk.com)--教育资源门户，提供试卷、教案、课件、论文、素材及各类教学资源下载，还有大量而丰富的教学相关资讯！"/>
                    <pic:cNvPicPr>
                      <a:picLocks noChangeAspect="1" noChangeArrowheads="1"/>
                    </pic:cNvPicPr>
                  </pic:nvPicPr>
                  <pic:blipFill>
                    <a:blip r:embed="rId13" cstate="print"/>
                    <a:srcRect/>
                    <a:stretch>
                      <a:fillRect/>
                    </a:stretch>
                  </pic:blipFill>
                  <pic:spPr>
                    <a:xfrm>
                      <a:off x="0" y="0"/>
                      <a:ext cx="2114550" cy="946410"/>
                    </a:xfrm>
                    <a:prstGeom prst="rect">
                      <a:avLst/>
                    </a:prstGeom>
                    <a:noFill/>
                    <a:ln w="9525">
                      <a:noFill/>
                      <a:miter lim="800000"/>
                      <a:headEnd/>
                      <a:tailEnd/>
                    </a:ln>
                  </pic:spPr>
                </pic:pic>
              </a:graphicData>
            </a:graphic>
          </wp:inline>
        </w:drawing>
      </w:r>
      <w:r>
        <w:rPr>
          <w:rFonts w:ascii="宋体" w:hAnsi="宋体" w:hint="eastAsia"/>
          <w:sz w:val="24"/>
          <w:lang w:val="de-DE"/>
        </w:rPr>
        <w:t xml:space="preserve"> </w:t>
      </w:r>
    </w:p>
    <w:p w:rsidR="003C7398" w:rsidRDefault="003B25EF" w:rsidP="00726D57">
      <w:pPr>
        <w:spacing w:line="360" w:lineRule="auto"/>
        <w:ind w:firstLineChars="200" w:firstLine="480"/>
        <w:rPr>
          <w:rFonts w:ascii="宋体" w:hAnsi="宋体"/>
          <w:sz w:val="24"/>
        </w:rPr>
      </w:pPr>
      <w:r>
        <w:rPr>
          <w:rFonts w:ascii="宋体" w:hAnsi="宋体" w:hint="eastAsia"/>
          <w:sz w:val="24"/>
        </w:rPr>
        <w:t>【小结】电流表的位置改变了，但是电流表的示数没有发生改变，说明流过小灯泡的电流无变化。</w:t>
      </w:r>
    </w:p>
    <w:p w:rsidR="003C7398" w:rsidRDefault="003B25EF" w:rsidP="00726D57">
      <w:pPr>
        <w:spacing w:line="360" w:lineRule="auto"/>
        <w:ind w:firstLineChars="200" w:firstLine="480"/>
        <w:rPr>
          <w:rFonts w:ascii="宋体" w:hAnsi="宋体"/>
          <w:sz w:val="24"/>
        </w:rPr>
      </w:pPr>
      <w:r>
        <w:rPr>
          <w:rFonts w:ascii="宋体" w:hAnsi="宋体" w:hint="eastAsia"/>
          <w:sz w:val="24"/>
        </w:rPr>
        <w:t>小组合作，各小组按图连接电路，连接好后全班交流实验中出现的问题。</w:t>
      </w:r>
    </w:p>
    <w:p w:rsidR="003C7398" w:rsidRDefault="003B25EF">
      <w:pPr>
        <w:pStyle w:val="a3"/>
        <w:wordWrap w:val="0"/>
        <w:autoSpaceDE w:val="0"/>
        <w:autoSpaceDN w:val="0"/>
        <w:adjustRightInd w:val="0"/>
        <w:snapToGrid w:val="0"/>
        <w:spacing w:line="360" w:lineRule="auto"/>
        <w:textAlignment w:val="center"/>
        <w:rPr>
          <w:rFonts w:ascii="Times New Roman" w:hAnsi="Times New Roman" w:cs="Times New Roman"/>
          <w:b/>
          <w:bCs/>
          <w:color w:val="000000"/>
          <w:sz w:val="24"/>
          <w:szCs w:val="24"/>
        </w:rPr>
      </w:pPr>
      <w:r>
        <w:rPr>
          <w:rFonts w:ascii="Times New Roman" w:hAnsi="Times New Roman" w:cs="Times New Roman" w:hint="eastAsia"/>
          <w:b/>
          <w:bCs/>
          <w:color w:val="000000"/>
          <w:sz w:val="24"/>
          <w:szCs w:val="24"/>
        </w:rPr>
        <w:t>三、课堂总结：</w:t>
      </w:r>
    </w:p>
    <w:p w:rsidR="003C7398" w:rsidRDefault="003B25EF" w:rsidP="00726D57">
      <w:pPr>
        <w:spacing w:line="360" w:lineRule="auto"/>
        <w:ind w:firstLineChars="200" w:firstLine="480"/>
        <w:rPr>
          <w:rFonts w:ascii="宋体" w:hAnsi="宋体"/>
          <w:sz w:val="24"/>
        </w:rPr>
      </w:pPr>
      <w:r>
        <w:rPr>
          <w:rFonts w:ascii="宋体" w:hAnsi="宋体" w:hint="eastAsia"/>
          <w:sz w:val="24"/>
        </w:rPr>
        <w:t>通过本节课的学习，你有什么收获与体会？请每一位同学对自己在本节课的学习情况进行评估，然后教师归纳并总结本节内容“电流的强弱、电流的测量，重点是电流表的正确使用”。</w:t>
      </w:r>
    </w:p>
    <w:p w:rsidR="003C7398" w:rsidRDefault="003B25EF">
      <w:pPr>
        <w:spacing w:line="360" w:lineRule="auto"/>
        <w:rPr>
          <w:rFonts w:ascii="宋体" w:hAnsi="宋体"/>
          <w:b/>
          <w:sz w:val="24"/>
        </w:rPr>
      </w:pPr>
      <w:r>
        <w:rPr>
          <w:rFonts w:ascii="宋体" w:hAnsi="宋体" w:hint="eastAsia"/>
          <w:b/>
          <w:sz w:val="24"/>
        </w:rPr>
        <w:t>四、布置作业：</w:t>
      </w:r>
    </w:p>
    <w:p w:rsidR="003C7398" w:rsidRDefault="003B25EF" w:rsidP="00726D57">
      <w:pPr>
        <w:spacing w:line="360" w:lineRule="auto"/>
        <w:ind w:firstLineChars="200" w:firstLine="480"/>
        <w:rPr>
          <w:rFonts w:ascii="宋体" w:hAnsi="宋体"/>
          <w:sz w:val="24"/>
        </w:rPr>
      </w:pPr>
      <w:r>
        <w:rPr>
          <w:rFonts w:ascii="宋体" w:hAnsi="宋体" w:hint="eastAsia"/>
          <w:sz w:val="24"/>
        </w:rPr>
        <w:t xml:space="preserve"> “动手动脑学物理”1、2小题。</w:t>
      </w:r>
    </w:p>
    <w:p w:rsidR="003C7398" w:rsidRDefault="003B25EF">
      <w:pPr>
        <w:spacing w:line="360" w:lineRule="auto"/>
        <w:rPr>
          <w:rFonts w:ascii="宋体" w:hAnsi="宋体"/>
          <w:b/>
          <w:sz w:val="24"/>
        </w:rPr>
      </w:pPr>
      <w:r>
        <w:rPr>
          <w:rFonts w:ascii="宋体" w:hAnsi="宋体" w:hint="eastAsia"/>
          <w:b/>
          <w:sz w:val="24"/>
        </w:rPr>
        <w:t>五、板书设计：</w:t>
      </w:r>
    </w:p>
    <w:p w:rsidR="003C7398" w:rsidRDefault="003B25EF">
      <w:pPr>
        <w:wordWrap w:val="0"/>
        <w:autoSpaceDE w:val="0"/>
        <w:autoSpaceDN w:val="0"/>
        <w:adjustRightInd w:val="0"/>
        <w:snapToGrid w:val="0"/>
        <w:spacing w:line="360" w:lineRule="auto"/>
        <w:jc w:val="center"/>
        <w:textAlignment w:val="center"/>
        <w:rPr>
          <w:rFonts w:ascii="宋体" w:hAnsi="宋体"/>
          <w:color w:val="000000"/>
          <w:sz w:val="24"/>
        </w:rPr>
      </w:pPr>
      <w:r>
        <w:rPr>
          <w:rFonts w:ascii="宋体" w:hAnsi="宋体" w:hint="eastAsia"/>
          <w:color w:val="000000"/>
          <w:sz w:val="24"/>
        </w:rPr>
        <w:t>电流的测量</w:t>
      </w:r>
    </w:p>
    <w:p w:rsidR="003C7398" w:rsidRDefault="003B25EF">
      <w:pPr>
        <w:pStyle w:val="a3"/>
        <w:wordWrap w:val="0"/>
        <w:autoSpaceDE w:val="0"/>
        <w:autoSpaceDN w:val="0"/>
        <w:adjustRightInd w:val="0"/>
        <w:snapToGrid w:val="0"/>
        <w:spacing w:line="360" w:lineRule="auto"/>
        <w:textAlignment w:val="center"/>
        <w:rPr>
          <w:rFonts w:hAnsi="宋体"/>
          <w:color w:val="000000"/>
          <w:sz w:val="24"/>
          <w:szCs w:val="24"/>
        </w:rPr>
      </w:pPr>
      <w:r>
        <w:rPr>
          <w:rFonts w:hAnsi="宋体" w:hint="eastAsia"/>
          <w:color w:val="000000"/>
          <w:sz w:val="24"/>
          <w:szCs w:val="24"/>
        </w:rPr>
        <w:t>一、电流的强弱</w:t>
      </w:r>
    </w:p>
    <w:p w:rsidR="003C7398" w:rsidRDefault="003B25EF">
      <w:pPr>
        <w:pStyle w:val="a3"/>
        <w:wordWrap w:val="0"/>
        <w:autoSpaceDE w:val="0"/>
        <w:autoSpaceDN w:val="0"/>
        <w:adjustRightInd w:val="0"/>
        <w:snapToGrid w:val="0"/>
        <w:spacing w:line="360" w:lineRule="auto"/>
        <w:textAlignment w:val="center"/>
        <w:rPr>
          <w:rFonts w:hAnsi="宋体"/>
          <w:color w:val="000000"/>
          <w:sz w:val="24"/>
          <w:szCs w:val="24"/>
        </w:rPr>
      </w:pPr>
      <w:r>
        <w:rPr>
          <w:rFonts w:hAnsi="宋体" w:hint="eastAsia"/>
          <w:color w:val="000000"/>
          <w:sz w:val="24"/>
          <w:szCs w:val="24"/>
        </w:rPr>
        <w:t>电流：表示电流强弱的物理量，符号</w:t>
      </w:r>
      <w:r>
        <w:rPr>
          <w:rFonts w:hAnsi="宋体" w:hint="eastAsia"/>
          <w:i/>
          <w:color w:val="000000"/>
          <w:sz w:val="24"/>
          <w:szCs w:val="24"/>
        </w:rPr>
        <w:t>I</w:t>
      </w:r>
      <w:r>
        <w:rPr>
          <w:rFonts w:hAnsi="宋体" w:hint="eastAsia"/>
          <w:color w:val="000000"/>
          <w:sz w:val="24"/>
          <w:szCs w:val="24"/>
        </w:rPr>
        <w:t>。</w:t>
      </w:r>
    </w:p>
    <w:p w:rsidR="003C7398" w:rsidRDefault="003B25EF">
      <w:pPr>
        <w:pStyle w:val="a3"/>
        <w:wordWrap w:val="0"/>
        <w:autoSpaceDE w:val="0"/>
        <w:autoSpaceDN w:val="0"/>
        <w:adjustRightInd w:val="0"/>
        <w:snapToGrid w:val="0"/>
        <w:spacing w:line="360" w:lineRule="auto"/>
        <w:textAlignment w:val="center"/>
        <w:rPr>
          <w:rFonts w:hAnsi="宋体"/>
          <w:color w:val="000000"/>
          <w:sz w:val="24"/>
          <w:szCs w:val="24"/>
        </w:rPr>
      </w:pPr>
      <w:r>
        <w:rPr>
          <w:rFonts w:hAnsi="宋体" w:hint="eastAsia"/>
          <w:color w:val="000000"/>
          <w:sz w:val="24"/>
          <w:szCs w:val="24"/>
        </w:rPr>
        <w:lastRenderedPageBreak/>
        <w:t>单位：安培，符号A，还有</w:t>
      </w:r>
      <w:proofErr w:type="gramStart"/>
      <w:r>
        <w:rPr>
          <w:rFonts w:hAnsi="宋体" w:hint="eastAsia"/>
          <w:color w:val="000000"/>
          <w:sz w:val="24"/>
          <w:szCs w:val="24"/>
        </w:rPr>
        <w:t>毫安(</w:t>
      </w:r>
      <w:proofErr w:type="gramEnd"/>
      <w:r>
        <w:rPr>
          <w:rFonts w:hAnsi="宋体" w:hint="eastAsia"/>
          <w:color w:val="000000"/>
          <w:sz w:val="24"/>
          <w:szCs w:val="24"/>
        </w:rPr>
        <w:t>mA)、微安(μA)。</w:t>
      </w:r>
    </w:p>
    <w:p w:rsidR="003C7398" w:rsidRDefault="003B25EF">
      <w:pPr>
        <w:pStyle w:val="a3"/>
        <w:wordWrap w:val="0"/>
        <w:autoSpaceDE w:val="0"/>
        <w:autoSpaceDN w:val="0"/>
        <w:adjustRightInd w:val="0"/>
        <w:snapToGrid w:val="0"/>
        <w:spacing w:line="360" w:lineRule="auto"/>
        <w:textAlignment w:val="center"/>
        <w:rPr>
          <w:rFonts w:hAnsi="宋体"/>
          <w:color w:val="000000"/>
          <w:sz w:val="24"/>
          <w:szCs w:val="24"/>
        </w:rPr>
      </w:pPr>
      <w:r>
        <w:rPr>
          <w:rFonts w:hAnsi="宋体" w:hint="eastAsia"/>
          <w:color w:val="000000"/>
          <w:sz w:val="24"/>
          <w:szCs w:val="24"/>
        </w:rPr>
        <w:t>单位换算</w:t>
      </w:r>
    </w:p>
    <w:p w:rsidR="003C7398" w:rsidRDefault="003B25EF">
      <w:pPr>
        <w:pStyle w:val="a3"/>
        <w:wordWrap w:val="0"/>
        <w:autoSpaceDE w:val="0"/>
        <w:autoSpaceDN w:val="0"/>
        <w:adjustRightInd w:val="0"/>
        <w:snapToGrid w:val="0"/>
        <w:spacing w:line="360" w:lineRule="auto"/>
        <w:textAlignment w:val="center"/>
        <w:rPr>
          <w:rFonts w:hAnsi="宋体"/>
          <w:color w:val="000000"/>
          <w:sz w:val="24"/>
          <w:szCs w:val="24"/>
        </w:rPr>
      </w:pPr>
      <w:r>
        <w:rPr>
          <w:rFonts w:hAnsi="宋体" w:hint="eastAsia"/>
          <w:color w:val="000000"/>
          <w:sz w:val="24"/>
          <w:szCs w:val="24"/>
        </w:rPr>
        <w:t>二、电流的测量——电流表</w:t>
      </w:r>
    </w:p>
    <w:p w:rsidR="003C7398" w:rsidRDefault="003B25EF">
      <w:pPr>
        <w:pStyle w:val="a3"/>
        <w:wordWrap w:val="0"/>
        <w:autoSpaceDE w:val="0"/>
        <w:autoSpaceDN w:val="0"/>
        <w:adjustRightInd w:val="0"/>
        <w:snapToGrid w:val="0"/>
        <w:spacing w:line="360" w:lineRule="auto"/>
        <w:textAlignment w:val="center"/>
        <w:rPr>
          <w:rFonts w:hAnsi="宋体"/>
          <w:color w:val="000000"/>
          <w:sz w:val="24"/>
          <w:szCs w:val="24"/>
        </w:rPr>
      </w:pPr>
      <w:r>
        <w:rPr>
          <w:rFonts w:hAnsi="宋体" w:hint="eastAsia"/>
          <w:color w:val="000000"/>
          <w:sz w:val="24"/>
          <w:szCs w:val="24"/>
        </w:rPr>
        <w:t>1.认识电流表</w:t>
      </w:r>
    </w:p>
    <w:p w:rsidR="003C7398" w:rsidRDefault="003B25EF">
      <w:pPr>
        <w:pStyle w:val="a3"/>
        <w:wordWrap w:val="0"/>
        <w:autoSpaceDE w:val="0"/>
        <w:autoSpaceDN w:val="0"/>
        <w:adjustRightInd w:val="0"/>
        <w:snapToGrid w:val="0"/>
        <w:spacing w:line="360" w:lineRule="auto"/>
        <w:textAlignment w:val="center"/>
        <w:rPr>
          <w:rFonts w:hAnsi="宋体"/>
          <w:color w:val="000000"/>
          <w:sz w:val="24"/>
          <w:szCs w:val="24"/>
        </w:rPr>
      </w:pPr>
      <w:r>
        <w:rPr>
          <w:rFonts w:hAnsi="宋体" w:hint="eastAsia"/>
          <w:color w:val="000000"/>
          <w:sz w:val="24"/>
          <w:szCs w:val="24"/>
        </w:rPr>
        <w:t>2.电流表的连接</w:t>
      </w:r>
    </w:p>
    <w:p w:rsidR="003C7398" w:rsidRDefault="003B25EF">
      <w:pPr>
        <w:pStyle w:val="a3"/>
        <w:wordWrap w:val="0"/>
        <w:autoSpaceDE w:val="0"/>
        <w:autoSpaceDN w:val="0"/>
        <w:adjustRightInd w:val="0"/>
        <w:snapToGrid w:val="0"/>
        <w:spacing w:line="360" w:lineRule="auto"/>
        <w:textAlignment w:val="center"/>
        <w:rPr>
          <w:rFonts w:hAnsi="宋体"/>
          <w:color w:val="000000"/>
          <w:sz w:val="24"/>
          <w:szCs w:val="24"/>
        </w:rPr>
      </w:pPr>
      <w:r>
        <w:rPr>
          <w:rFonts w:hAnsi="宋体" w:hint="eastAsia"/>
          <w:color w:val="000000"/>
          <w:sz w:val="24"/>
          <w:szCs w:val="24"/>
        </w:rPr>
        <w:t>电流表的连接要求：串联接入电路、“＋”入“－”出、量程选择、不能直接连到电源的两极上。</w:t>
      </w:r>
    </w:p>
    <w:p w:rsidR="003C7398" w:rsidRDefault="003B25EF">
      <w:pPr>
        <w:pStyle w:val="a3"/>
        <w:wordWrap w:val="0"/>
        <w:autoSpaceDE w:val="0"/>
        <w:autoSpaceDN w:val="0"/>
        <w:adjustRightInd w:val="0"/>
        <w:snapToGrid w:val="0"/>
        <w:spacing w:line="360" w:lineRule="auto"/>
        <w:textAlignment w:val="center"/>
        <w:rPr>
          <w:rFonts w:hAnsi="宋体"/>
          <w:color w:val="000000"/>
          <w:sz w:val="24"/>
          <w:szCs w:val="24"/>
        </w:rPr>
      </w:pPr>
      <w:r>
        <w:rPr>
          <w:rFonts w:hAnsi="宋体" w:hint="eastAsia"/>
          <w:color w:val="000000"/>
          <w:sz w:val="24"/>
          <w:szCs w:val="24"/>
        </w:rPr>
        <w:t>3.电流表的读数</w:t>
      </w:r>
    </w:p>
    <w:p w:rsidR="003C7398" w:rsidRDefault="003B25EF">
      <w:pPr>
        <w:pStyle w:val="a3"/>
        <w:wordWrap w:val="0"/>
        <w:autoSpaceDE w:val="0"/>
        <w:autoSpaceDN w:val="0"/>
        <w:adjustRightInd w:val="0"/>
        <w:snapToGrid w:val="0"/>
        <w:spacing w:line="360" w:lineRule="auto"/>
        <w:textAlignment w:val="center"/>
        <w:rPr>
          <w:rFonts w:hAnsi="宋体"/>
          <w:color w:val="000000"/>
          <w:sz w:val="24"/>
          <w:szCs w:val="24"/>
        </w:rPr>
      </w:pPr>
      <w:r>
        <w:rPr>
          <w:rFonts w:hAnsi="宋体" w:hint="eastAsia"/>
          <w:color w:val="000000"/>
          <w:sz w:val="24"/>
          <w:szCs w:val="24"/>
        </w:rPr>
        <w:t>一看量程、二确定分度值、三看偏转</w:t>
      </w:r>
      <w:r>
        <w:rPr>
          <w:rFonts w:hAnsi="宋体" w:hint="eastAsia"/>
          <w:noProof/>
          <w:color w:val="000000"/>
          <w:sz w:val="24"/>
          <w:szCs w:val="24"/>
        </w:rPr>
        <w:drawing>
          <wp:inline distT="0" distB="0" distL="114300" distR="114300">
            <wp:extent cx="194310" cy="21590"/>
            <wp:effectExtent l="0" t="0" r="0" b="0"/>
            <wp:docPr id="9" name="图片 9"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学科网(www.zxxk.com)--教育资源门户，提供试卷、教案、课件、论文、素材及各类教学资源下载，还有大量而丰富的教学相关资讯！"/>
                    <pic:cNvPicPr>
                      <a:picLocks noChangeAspect="1"/>
                    </pic:cNvPicPr>
                  </pic:nvPicPr>
                  <pic:blipFill>
                    <a:blip r:embed="rId10"/>
                    <a:stretch>
                      <a:fillRect/>
                    </a:stretch>
                  </pic:blipFill>
                  <pic:spPr>
                    <a:xfrm>
                      <a:off x="0" y="0"/>
                      <a:ext cx="194310" cy="21590"/>
                    </a:xfrm>
                    <a:prstGeom prst="rect">
                      <a:avLst/>
                    </a:prstGeom>
                  </pic:spPr>
                </pic:pic>
              </a:graphicData>
            </a:graphic>
          </wp:inline>
        </w:drawing>
      </w:r>
      <w:r>
        <w:rPr>
          <w:rFonts w:hAnsi="宋体" w:hint="eastAsia"/>
          <w:color w:val="000000"/>
          <w:sz w:val="24"/>
          <w:szCs w:val="24"/>
        </w:rPr>
        <w:t>格数。</w:t>
      </w:r>
    </w:p>
    <w:p w:rsidR="003C7398" w:rsidRDefault="003B25EF">
      <w:pPr>
        <w:pStyle w:val="a3"/>
        <w:wordWrap w:val="0"/>
        <w:autoSpaceDE w:val="0"/>
        <w:autoSpaceDN w:val="0"/>
        <w:adjustRightInd w:val="0"/>
        <w:snapToGrid w:val="0"/>
        <w:spacing w:line="360" w:lineRule="auto"/>
        <w:textAlignment w:val="center"/>
        <w:rPr>
          <w:rFonts w:hAnsi="宋体"/>
          <w:color w:val="000000"/>
          <w:sz w:val="24"/>
          <w:szCs w:val="24"/>
        </w:rPr>
      </w:pPr>
      <w:r>
        <w:rPr>
          <w:rFonts w:hAnsi="宋体" w:hint="eastAsia"/>
          <w:color w:val="000000"/>
          <w:sz w:val="24"/>
          <w:szCs w:val="24"/>
        </w:rPr>
        <w:t>4.用电流表测电路中电流</w:t>
      </w:r>
    </w:p>
    <w:p w:rsidR="003C7398" w:rsidRDefault="003B25EF">
      <w:pPr>
        <w:pStyle w:val="a3"/>
        <w:wordWrap w:val="0"/>
        <w:autoSpaceDE w:val="0"/>
        <w:autoSpaceDN w:val="0"/>
        <w:adjustRightInd w:val="0"/>
        <w:snapToGrid w:val="0"/>
        <w:spacing w:line="360" w:lineRule="auto"/>
        <w:textAlignment w:val="center"/>
        <w:rPr>
          <w:rFonts w:hAnsi="宋体"/>
          <w:color w:val="000000"/>
          <w:sz w:val="24"/>
          <w:szCs w:val="24"/>
        </w:rPr>
      </w:pPr>
      <w:r>
        <w:rPr>
          <w:rFonts w:hAnsi="宋体" w:hint="eastAsia"/>
          <w:color w:val="000000"/>
          <w:sz w:val="24"/>
          <w:szCs w:val="24"/>
        </w:rPr>
        <w:t>同一条电流路径中电流大小是一样的。</w:t>
      </w:r>
    </w:p>
    <w:p w:rsidR="003C7398" w:rsidRDefault="003C7398">
      <w:pPr>
        <w:spacing w:line="360" w:lineRule="auto"/>
        <w:ind w:firstLine="420"/>
        <w:jc w:val="center"/>
        <w:rPr>
          <w:rFonts w:ascii="宋体" w:hAnsi="宋体"/>
          <w:sz w:val="24"/>
        </w:rPr>
      </w:pPr>
    </w:p>
    <w:p w:rsidR="003C7398" w:rsidRDefault="00251E81">
      <w:pPr>
        <w:spacing w:line="360" w:lineRule="auto"/>
        <w:rPr>
          <w:rFonts w:ascii="宋体" w:hAnsi="宋体"/>
          <w:sz w:val="24"/>
        </w:rPr>
      </w:pPr>
      <w:r>
        <w:rPr>
          <w:rFonts w:ascii="宋体" w:hAnsi="宋体"/>
          <w:sz w:val="24"/>
        </w:rPr>
      </w:r>
      <w:r>
        <w:rPr>
          <w:rFonts w:ascii="宋体" w:hAnsi="宋体"/>
          <w:sz w:val="24"/>
        </w:rPr>
        <w:pict>
          <v:roundrect id="圆角矩形 19" o:spid="_x0000_s1033" alt="学科网(www.zxxk.com)--教育资源门户，提供试卷、教案、课件、论文、素材及各类教学资源下载，还有大量而丰富的教学相关资讯！" style="width:129.65pt;height:27.6pt;mso-left-percent:-10001;mso-top-percent:-10001;mso-position-horizontal:absolute;mso-position-horizontal-relative:char;mso-position-vertical:absolute;mso-position-vertical-relative:line;mso-left-percent:-10001;mso-top-percent:-10001;v-text-anchor:middle" arcsize="10923f" fillcolor="#c7edcc">
            <v:shadow on="t" type="perspective" color="black" opacity="13107f" origin="-.5,.5" offset="0,0" matrix=",-23853f,,15073f"/>
            <v:textbox>
              <w:txbxContent>
                <w:p w:rsidR="003C7398" w:rsidRDefault="003B25EF">
                  <w:pPr>
                    <w:pStyle w:val="12"/>
                    <w:numPr>
                      <w:ilvl w:val="0"/>
                      <w:numId w:val="1"/>
                    </w:numPr>
                    <w:ind w:firstLineChars="0"/>
                    <w:jc w:val="left"/>
                    <w:rPr>
                      <w:b/>
                      <w:color w:val="C00000"/>
                      <w:sz w:val="24"/>
                    </w:rPr>
                  </w:pPr>
                  <w:r>
                    <w:rPr>
                      <w:rFonts w:hint="eastAsia"/>
                      <w:b/>
                      <w:color w:val="C00000"/>
                      <w:sz w:val="24"/>
                    </w:rPr>
                    <w:t>教学反思</w:t>
                  </w:r>
                </w:p>
              </w:txbxContent>
            </v:textbox>
            <w10:wrap type="none"/>
            <w10:anchorlock/>
          </v:roundrect>
        </w:pict>
      </w:r>
    </w:p>
    <w:p w:rsidR="003C7398" w:rsidRDefault="003B25EF">
      <w:pPr>
        <w:spacing w:line="360" w:lineRule="auto"/>
        <w:rPr>
          <w:sz w:val="24"/>
        </w:rPr>
      </w:pPr>
      <w:r>
        <w:rPr>
          <w:rFonts w:hint="eastAsia"/>
          <w:sz w:val="24"/>
        </w:rPr>
        <w:t>略</w:t>
      </w:r>
    </w:p>
    <w:sectPr w:rsidR="003C7398">
      <w:headerReference w:type="even" r:id="rId14"/>
      <w:headerReference w:type="default" r:id="rId15"/>
      <w:footerReference w:type="even" r:id="rId16"/>
      <w:footerReference w:type="default" r:id="rId17"/>
      <w:headerReference w:type="first" r:id="rId18"/>
      <w:footerReference w:type="first" r:id="rId1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1E81" w:rsidRDefault="00251E81">
      <w:pPr>
        <w:spacing w:after="0" w:line="240" w:lineRule="auto"/>
      </w:pPr>
      <w:r>
        <w:separator/>
      </w:r>
    </w:p>
  </w:endnote>
  <w:endnote w:type="continuationSeparator" w:id="0">
    <w:p w:rsidR="00251E81" w:rsidRDefault="00251E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Dotum">
    <w:altName w:val="돋움"/>
    <w:panose1 w:val="020B0600000101010101"/>
    <w:charset w:val="81"/>
    <w:family w:val="modern"/>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25BA" w:rsidRDefault="00EE25BA">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25BA" w:rsidRDefault="00EE25BA">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25BA" w:rsidRDefault="00EE25B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1E81" w:rsidRDefault="00251E81">
      <w:pPr>
        <w:spacing w:after="0" w:line="240" w:lineRule="auto"/>
      </w:pPr>
      <w:r>
        <w:separator/>
      </w:r>
    </w:p>
  </w:footnote>
  <w:footnote w:type="continuationSeparator" w:id="0">
    <w:p w:rsidR="00251E81" w:rsidRDefault="00251E8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25BA" w:rsidRDefault="00EE25BA">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7398" w:rsidRDefault="003B25EF" w:rsidP="00EE25BA">
    <w:pPr>
      <w:pStyle w:val="a6"/>
      <w:pBdr>
        <w:bottom w:val="none" w:sz="0" w:space="0" w:color="auto"/>
      </w:pBdr>
    </w:pPr>
    <w:r>
      <w:rPr>
        <w:noProof/>
      </w:rPr>
      <w:drawing>
        <wp:anchor distT="0" distB="0" distL="114300" distR="114300" simplePos="0" relativeHeight="251658240" behindDoc="1" locked="0" layoutInCell="1" allowOverlap="1">
          <wp:simplePos x="0" y="0"/>
          <wp:positionH relativeFrom="column">
            <wp:align>center</wp:align>
          </wp:positionH>
          <wp:positionV relativeFrom="paragraph">
            <wp:align>center</wp:align>
          </wp:positionV>
          <wp:extent cx="243205" cy="365125"/>
          <wp:effectExtent l="0" t="0" r="4445" b="0"/>
          <wp:wrapNone/>
          <wp:docPr id="4" name="图片 4"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学科网(www.zxxk.com)--教育资源门户，提供试卷、教案、课件、论文、素材及各类教学资源下载，还有大量而丰富的教学相关资讯！"/>
                  <pic:cNvPicPr>
                    <a:picLocks noChangeAspect="1"/>
                  </pic:cNvPicPr>
                </pic:nvPicPr>
                <pic:blipFill>
                  <a:blip r:embed="rId1"/>
                  <a:stretch>
                    <a:fillRect/>
                  </a:stretch>
                </pic:blipFill>
                <pic:spPr>
                  <a:xfrm>
                    <a:off x="0" y="0"/>
                    <a:ext cx="243205" cy="365125"/>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25BA" w:rsidRDefault="00EE25BA">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DF2914"/>
    <w:multiLevelType w:val="multilevel"/>
    <w:tmpl w:val="24DF2914"/>
    <w:lvl w:ilvl="0">
      <w:numFmt w:val="bullet"/>
      <w:lvlText w:val="◆"/>
      <w:lvlJc w:val="left"/>
      <w:pPr>
        <w:ind w:left="360" w:hanging="360"/>
      </w:pPr>
      <w:rPr>
        <w:rFonts w:ascii="宋体" w:eastAsia="宋体" w:hAnsi="宋体"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7398"/>
    <w:rsid w:val="001E461B"/>
    <w:rsid w:val="002012C9"/>
    <w:rsid w:val="00251E81"/>
    <w:rsid w:val="003B25EF"/>
    <w:rsid w:val="003C7398"/>
    <w:rsid w:val="00726D57"/>
    <w:rsid w:val="00EE25B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qFormat="1"/>
    <w:lsdException w:name="Normal Table" w:qFormat="1"/>
    <w:lsdException w:name="Balloon Text" w:semiHidden="0"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uiPriority w:val="9"/>
    <w:qFormat/>
    <w:pPr>
      <w:keepNext/>
      <w:keepLines/>
      <w:spacing w:before="340" w:after="330" w:line="240" w:lineRule="auto"/>
      <w:jc w:val="center"/>
      <w:outlineLvl w:val="0"/>
    </w:pPr>
    <w:rPr>
      <w:rFonts w:asciiTheme="majorHAnsi" w:eastAsia="黑体" w:hAnsiTheme="majorHAnsi"/>
      <w:b/>
      <w:color w:val="000000" w:themeColor="text1"/>
      <w:kern w:val="44"/>
      <w:sz w:val="32"/>
      <w:szCs w:val="22"/>
    </w:rPr>
  </w:style>
  <w:style w:type="paragraph" w:styleId="2">
    <w:name w:val="heading 2"/>
    <w:basedOn w:val="a"/>
    <w:next w:val="a"/>
    <w:link w:val="2Char"/>
    <w:uiPriority w:val="9"/>
    <w:unhideWhenUsed/>
    <w:qFormat/>
    <w:pPr>
      <w:keepNext/>
      <w:keepLines/>
      <w:adjustRightInd w:val="0"/>
      <w:snapToGrid w:val="0"/>
      <w:spacing w:line="360" w:lineRule="auto"/>
      <w:jc w:val="left"/>
      <w:outlineLvl w:val="1"/>
    </w:pPr>
    <w:rPr>
      <w:b/>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uiPriority w:val="99"/>
    <w:unhideWhenUsed/>
    <w:qFormat/>
    <w:rPr>
      <w:rFonts w:ascii="宋体" w:hAnsi="Courier New" w:cs="Courier New"/>
      <w:szCs w:val="21"/>
    </w:rPr>
  </w:style>
  <w:style w:type="paragraph" w:styleId="a4">
    <w:name w:val="Balloon Text"/>
    <w:basedOn w:val="a"/>
    <w:link w:val="Char"/>
    <w:uiPriority w:val="99"/>
    <w:unhideWhenUsed/>
    <w:qFormat/>
    <w:rPr>
      <w:rFonts w:asciiTheme="minorHAnsi" w:eastAsiaTheme="minorEastAsia" w:hAnsiTheme="minorHAnsi" w:cstheme="minorBidi"/>
      <w:sz w:val="18"/>
      <w:szCs w:val="18"/>
    </w:rPr>
  </w:style>
  <w:style w:type="paragraph" w:styleId="a5">
    <w:name w:val="footer"/>
    <w:basedOn w:val="a"/>
    <w:link w:val="Char0"/>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6">
    <w:name w:val="header"/>
    <w:basedOn w:val="a"/>
    <w:link w:val="Char1"/>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7">
    <w:name w:val="Subtitle"/>
    <w:basedOn w:val="a"/>
    <w:next w:val="a"/>
    <w:link w:val="Char2"/>
    <w:uiPriority w:val="11"/>
    <w:qFormat/>
    <w:pPr>
      <w:widowControl/>
      <w:jc w:val="left"/>
    </w:pPr>
    <w:rPr>
      <w:rFonts w:asciiTheme="majorHAnsi" w:eastAsiaTheme="majorEastAsia" w:hAnsiTheme="majorHAnsi" w:cstheme="majorBidi"/>
      <w:i/>
      <w:iCs/>
      <w:color w:val="4F81BD" w:themeColor="accent1"/>
      <w:spacing w:val="15"/>
      <w:kern w:val="0"/>
      <w:sz w:val="24"/>
    </w:rPr>
  </w:style>
  <w:style w:type="paragraph" w:styleId="a8">
    <w:name w:val="Title"/>
    <w:basedOn w:val="a"/>
    <w:next w:val="a"/>
    <w:link w:val="Char3"/>
    <w:uiPriority w:val="10"/>
    <w:qFormat/>
    <w:pPr>
      <w:widowControl/>
      <w:pBdr>
        <w:bottom w:val="single" w:sz="8" w:space="4" w:color="4F81BD" w:themeColor="accent1"/>
      </w:pBdr>
      <w:spacing w:after="300"/>
      <w:contextualSpacing/>
      <w:jc w:val="left"/>
    </w:pPr>
    <w:rPr>
      <w:rFonts w:asciiTheme="majorHAnsi" w:eastAsiaTheme="majorEastAsia" w:hAnsiTheme="majorHAnsi" w:cstheme="majorBidi"/>
      <w:color w:val="17365D" w:themeColor="text2" w:themeShade="BF"/>
      <w:spacing w:val="5"/>
      <w:kern w:val="28"/>
      <w:sz w:val="52"/>
      <w:szCs w:val="52"/>
    </w:rPr>
  </w:style>
  <w:style w:type="character" w:customStyle="1" w:styleId="2Char">
    <w:name w:val="标题 2 Char"/>
    <w:basedOn w:val="a0"/>
    <w:link w:val="2"/>
    <w:uiPriority w:val="9"/>
    <w:qFormat/>
    <w:rPr>
      <w:rFonts w:ascii="Times New Roman" w:eastAsia="宋体" w:hAnsi="Times New Roman" w:cs="Times New Roman"/>
      <w:b/>
      <w:bCs/>
      <w:sz w:val="28"/>
      <w:szCs w:val="32"/>
    </w:rPr>
  </w:style>
  <w:style w:type="character" w:customStyle="1" w:styleId="Char1">
    <w:name w:val="页眉 Char"/>
    <w:basedOn w:val="a0"/>
    <w:link w:val="a6"/>
    <w:uiPriority w:val="99"/>
    <w:qFormat/>
    <w:rPr>
      <w:sz w:val="18"/>
      <w:szCs w:val="18"/>
    </w:rPr>
  </w:style>
  <w:style w:type="character" w:customStyle="1" w:styleId="Char0">
    <w:name w:val="页脚 Char"/>
    <w:basedOn w:val="a0"/>
    <w:link w:val="a5"/>
    <w:uiPriority w:val="99"/>
    <w:qFormat/>
    <w:rPr>
      <w:sz w:val="18"/>
      <w:szCs w:val="18"/>
    </w:rPr>
  </w:style>
  <w:style w:type="character" w:customStyle="1" w:styleId="10">
    <w:name w:val="占位符文本1"/>
    <w:basedOn w:val="a0"/>
    <w:uiPriority w:val="99"/>
    <w:semiHidden/>
    <w:qFormat/>
    <w:rPr>
      <w:color w:val="808080"/>
    </w:rPr>
  </w:style>
  <w:style w:type="character" w:customStyle="1" w:styleId="Char">
    <w:name w:val="批注框文本 Char"/>
    <w:basedOn w:val="a0"/>
    <w:link w:val="a4"/>
    <w:uiPriority w:val="99"/>
    <w:semiHidden/>
    <w:qFormat/>
    <w:rPr>
      <w:sz w:val="18"/>
      <w:szCs w:val="18"/>
    </w:rPr>
  </w:style>
  <w:style w:type="paragraph" w:customStyle="1" w:styleId="11">
    <w:name w:val="无间隔1"/>
    <w:link w:val="Char4"/>
    <w:uiPriority w:val="1"/>
    <w:qFormat/>
    <w:rPr>
      <w:sz w:val="22"/>
      <w:szCs w:val="22"/>
    </w:rPr>
  </w:style>
  <w:style w:type="character" w:customStyle="1" w:styleId="Char4">
    <w:name w:val="无间隔 Char"/>
    <w:basedOn w:val="a0"/>
    <w:link w:val="11"/>
    <w:uiPriority w:val="1"/>
    <w:qFormat/>
    <w:rPr>
      <w:kern w:val="0"/>
      <w:sz w:val="22"/>
    </w:rPr>
  </w:style>
  <w:style w:type="character" w:customStyle="1" w:styleId="Char3">
    <w:name w:val="标题 Char"/>
    <w:basedOn w:val="a0"/>
    <w:link w:val="a8"/>
    <w:uiPriority w:val="10"/>
    <w:qFormat/>
    <w:rPr>
      <w:rFonts w:asciiTheme="majorHAnsi" w:eastAsiaTheme="majorEastAsia" w:hAnsiTheme="majorHAnsi" w:cstheme="majorBidi"/>
      <w:color w:val="17365D" w:themeColor="text2" w:themeShade="BF"/>
      <w:spacing w:val="5"/>
      <w:kern w:val="28"/>
      <w:sz w:val="52"/>
      <w:szCs w:val="52"/>
    </w:rPr>
  </w:style>
  <w:style w:type="character" w:customStyle="1" w:styleId="Char2">
    <w:name w:val="副标题 Char"/>
    <w:basedOn w:val="a0"/>
    <w:link w:val="a7"/>
    <w:uiPriority w:val="11"/>
    <w:qFormat/>
    <w:rPr>
      <w:rFonts w:asciiTheme="majorHAnsi" w:eastAsiaTheme="majorEastAsia" w:hAnsiTheme="majorHAnsi" w:cstheme="majorBidi"/>
      <w:i/>
      <w:iCs/>
      <w:color w:val="4F81BD" w:themeColor="accent1"/>
      <w:spacing w:val="15"/>
      <w:kern w:val="0"/>
      <w:sz w:val="24"/>
      <w:szCs w:val="24"/>
    </w:rPr>
  </w:style>
  <w:style w:type="paragraph" w:customStyle="1" w:styleId="12">
    <w:name w:val="列出段落1"/>
    <w:basedOn w:val="a"/>
    <w:uiPriority w:val="34"/>
    <w:qFormat/>
    <w:pPr>
      <w:ind w:firstLineChars="200" w:firstLine="420"/>
    </w:pPr>
  </w:style>
  <w:style w:type="paragraph" w:styleId="a9">
    <w:name w:val="List Paragraph"/>
    <w:basedOn w:val="a"/>
    <w:uiPriority w:val="99"/>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1"/>
    <customShpInfo spid="_x0000_s1030"/>
    <customShpInfo spid="_x0000_s1029"/>
    <customShpInfo spid="_x0000_s1028"/>
    <customShpInfo spid="_x0000_s1027"/>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6</Pages>
  <Words>364</Words>
  <Characters>2079</Characters>
  <Application>Microsoft Office Word</Application>
  <DocSecurity>0</DocSecurity>
  <Lines>17</Lines>
  <Paragraphs>4</Paragraphs>
  <ScaleCrop>false</ScaleCrop>
  <Company>北京今日学易科技有限公司(Zxxk.Com)</Company>
  <LinksUpToDate>false</LinksUpToDate>
  <CharactersWithSpaces>2439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人教版九年级全册物理教案：15.4《电流的测量》.docx</dc:title>
  <dc:subject>人教版九年级全册物理教案：15.4《电流的测量》.docx</dc:subject>
  <dc:creator>学科网(Zxxk.Com)</dc:creator>
  <cp:keywords>试卷、教案、课件、论文、素材</cp:keywords>
  <dc:description>学科网(www.zxxk.com)--教育资源门户，提供试卷、教案、课件、论文、素材及各类教学资源下载，还有大量而丰富的教学相关资讯！</dc:description>
  <cp:lastModifiedBy>User</cp:lastModifiedBy>
  <cp:revision>12</cp:revision>
  <dcterms:created xsi:type="dcterms:W3CDTF">2017-08-18T06:50:00Z</dcterms:created>
  <dcterms:modified xsi:type="dcterms:W3CDTF">2018-10-11T22:22:00Z</dcterms:modified>
  <cp:category>学科网WORD文档</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y fmtid="{D5CDD505-2E9C-101B-9397-08002B2CF9AE}" pid="3" name="所有者">
    <vt:lpwstr>北京今日学易科技有限公司</vt:lpwstr>
  </property>
  <property fmtid="{D5CDD505-2E9C-101B-9397-08002B2CF9AE}" pid="4" name="来源">
    <vt:lpwstr>学科网(Zxxk.Com)</vt:lpwstr>
  </property>
  <property fmtid="{D5CDD505-2E9C-101B-9397-08002B2CF9AE}" pid="5" name="网址">
    <vt:lpwstr>http://www.zxxk.com</vt:lpwstr>
  </property>
</Properties>
</file>